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A5AC2" w14:textId="2FCDCCB0" w:rsidR="0064151B" w:rsidRPr="0064151B" w:rsidRDefault="00B16ED2" w:rsidP="00630212">
      <w:pPr>
        <w:rPr>
          <w:b/>
          <w:bCs/>
          <w:sz w:val="28"/>
          <w:szCs w:val="28"/>
        </w:rPr>
      </w:pPr>
      <w:r>
        <w:rPr>
          <w:b/>
          <w:bCs/>
          <w:sz w:val="28"/>
          <w:szCs w:val="28"/>
        </w:rPr>
        <w:t xml:space="preserve">28 </w:t>
      </w:r>
      <w:r w:rsidR="00881CC6">
        <w:rPr>
          <w:b/>
          <w:bCs/>
          <w:sz w:val="28"/>
          <w:szCs w:val="28"/>
        </w:rPr>
        <w:t>September</w:t>
      </w:r>
      <w:r w:rsidR="00252DEA">
        <w:rPr>
          <w:b/>
          <w:bCs/>
          <w:sz w:val="28"/>
          <w:szCs w:val="28"/>
        </w:rPr>
        <w:t xml:space="preserve"> </w:t>
      </w:r>
      <w:r w:rsidR="00A4585D">
        <w:rPr>
          <w:b/>
          <w:bCs/>
          <w:sz w:val="28"/>
          <w:szCs w:val="28"/>
        </w:rPr>
        <w:t>2026</w:t>
      </w:r>
    </w:p>
    <w:p w14:paraId="577CE62A" w14:textId="77777777" w:rsidR="00B86DD8" w:rsidRPr="00B86DD8" w:rsidRDefault="00B86DD8" w:rsidP="00B86DD8">
      <w:pPr>
        <w:rPr>
          <w:sz w:val="24"/>
          <w:szCs w:val="24"/>
        </w:rPr>
      </w:pPr>
      <w:r w:rsidRPr="00B86DD8">
        <w:rPr>
          <w:b/>
          <w:bCs/>
          <w:sz w:val="24"/>
          <w:szCs w:val="24"/>
        </w:rPr>
        <w:t>Subject: Tax reform must be accompanied by urgent action to strengthen Guernsey’s economy</w:t>
      </w:r>
    </w:p>
    <w:p w14:paraId="6D96B604" w14:textId="77777777" w:rsidR="00B86DD8" w:rsidRPr="00B86DD8" w:rsidRDefault="00B86DD8" w:rsidP="00B86DD8">
      <w:r w:rsidRPr="00B86DD8">
        <w:t>Dear Deputy,</w:t>
      </w:r>
    </w:p>
    <w:p w14:paraId="49D1B2B6" w14:textId="77777777" w:rsidR="00B86DD8" w:rsidRPr="00B86DD8" w:rsidRDefault="00B86DD8" w:rsidP="00B86DD8">
      <w:r w:rsidRPr="00B86DD8">
        <w:t>Ahead of the forthcoming States debate on tax reform, the Guernsey Retail Group is asking Members to consider not only how additional public revenue might be raised, but also how the final package could affect the strength of Guernsey’s local economy.</w:t>
      </w:r>
    </w:p>
    <w:p w14:paraId="0CC1C251" w14:textId="6CDFF5EE" w:rsidR="00B86DD8" w:rsidRPr="00B86DD8" w:rsidRDefault="00B86DD8" w:rsidP="00B86DD8">
      <w:r w:rsidRPr="00B86DD8">
        <w:t xml:space="preserve">We recognise the scale of the </w:t>
      </w:r>
      <w:r w:rsidR="003E1F1B">
        <w:t>i</w:t>
      </w:r>
      <w:r w:rsidRPr="00B86DD8">
        <w:t>sland’s fiscal challenge and the importance of funding essential public services sustainably.  However, a durable solution cannot be achieved through taxation and expenditure restraint alone.  It must also include a clear and urgent programme to encourage growth, strengthen business confidence, retain more consumer expenditure within Guernsey, and expand the economic base on which future tax revenues will depend.</w:t>
      </w:r>
    </w:p>
    <w:p w14:paraId="00485ADF" w14:textId="77777777" w:rsidR="00B86DD8" w:rsidRPr="00B86DD8" w:rsidRDefault="00B86DD8" w:rsidP="00B86DD8">
      <w:pPr>
        <w:rPr>
          <w:b/>
          <w:bCs/>
        </w:rPr>
      </w:pPr>
      <w:r w:rsidRPr="00B86DD8">
        <w:rPr>
          <w:b/>
          <w:bCs/>
        </w:rPr>
        <w:t>Our earlier response to the tax proposals</w:t>
      </w:r>
    </w:p>
    <w:p w14:paraId="72D2CE63" w14:textId="77777777" w:rsidR="00B86DD8" w:rsidRPr="00B86DD8" w:rsidRDefault="00B86DD8" w:rsidP="00B86DD8">
      <w:r w:rsidRPr="00B86DD8">
        <w:t>Earlier this year, the GRG prepared and circulated a detailed response to the government’s tax reform proposals.</w:t>
      </w:r>
    </w:p>
    <w:p w14:paraId="1C44A0B5" w14:textId="77777777" w:rsidR="00B86DD8" w:rsidRPr="00B86DD8" w:rsidRDefault="00B86DD8" w:rsidP="00B86DD8">
      <w:r w:rsidRPr="00B86DD8">
        <w:t>That submission was deliberately designed not simply to oppose change.  It acknowledged the financial challenge, examined the pressures facing local businesses, and offered constructive proposals for supporting, strengthening, and growing the local consumer economy.</w:t>
      </w:r>
    </w:p>
    <w:p w14:paraId="0FD60178" w14:textId="77777777" w:rsidR="00B86DD8" w:rsidRPr="00B86DD8" w:rsidRDefault="00B86DD8" w:rsidP="00B86DD8">
      <w:r w:rsidRPr="00B86DD8">
        <w:t>We would respectfully ask Members to revisit that document ahead of the debate, as it provides greater detail on the concerns and proposals summarised in this email (</w:t>
      </w:r>
      <w:hyperlink r:id="rId7" w:history="1">
        <w:r w:rsidRPr="00B86DD8">
          <w:rPr>
            <w:rStyle w:val="Hyperlink"/>
          </w:rPr>
          <w:t>https://guernseyretailgroup.gg/wp-content/uploads/2026/07/Guernsey-Retail-Group-Response-to-PR-Proposal-for-Tax-Reform-June-2026.pdf</w:t>
        </w:r>
      </w:hyperlink>
      <w:r w:rsidRPr="00B86DD8">
        <w:t xml:space="preserve">) </w:t>
      </w:r>
    </w:p>
    <w:p w14:paraId="20031789" w14:textId="77777777" w:rsidR="00B86DD8" w:rsidRPr="00B86DD8" w:rsidRDefault="00B86DD8" w:rsidP="00B86DD8">
      <w:pPr>
        <w:rPr>
          <w:b/>
          <w:bCs/>
        </w:rPr>
      </w:pPr>
      <w:r w:rsidRPr="00B86DD8">
        <w:rPr>
          <w:b/>
          <w:bCs/>
        </w:rPr>
        <w:t>What Guernsey businesses told us</w:t>
      </w:r>
    </w:p>
    <w:p w14:paraId="31AAAC6D" w14:textId="77777777" w:rsidR="00B86DD8" w:rsidRPr="00B86DD8" w:rsidRDefault="00B86DD8" w:rsidP="00B86DD8">
      <w:r w:rsidRPr="00B86DD8">
        <w:t>The GRG has recently undertaken another survey of local retail retailers.  We received 65 responses from businesses of varying sizes and operating across all categories of retail.</w:t>
      </w:r>
    </w:p>
    <w:p w14:paraId="7BA59A46" w14:textId="77777777" w:rsidR="00B86DD8" w:rsidRPr="00B86DD8" w:rsidRDefault="00B86DD8" w:rsidP="00B86DD8">
      <w:r w:rsidRPr="00B86DD8">
        <w:t>The findings demonstrate the breadth and strength of concern about the possible introduction of GST:</w:t>
      </w:r>
    </w:p>
    <w:p w14:paraId="1B1C76FA" w14:textId="77777777" w:rsidR="00B86DD8" w:rsidRPr="00B86DD8" w:rsidRDefault="00B86DD8" w:rsidP="00B86DD8">
      <w:pPr>
        <w:numPr>
          <w:ilvl w:val="0"/>
          <w:numId w:val="1"/>
        </w:numPr>
      </w:pPr>
      <w:r w:rsidRPr="00B86DD8">
        <w:rPr>
          <w:b/>
          <w:bCs/>
        </w:rPr>
        <w:t>67.7%</w:t>
      </w:r>
      <w:r w:rsidRPr="00B86DD8">
        <w:t xml:space="preserve"> said they would be highly concerned about the future viability of their business;</w:t>
      </w:r>
    </w:p>
    <w:p w14:paraId="2E0D1EED" w14:textId="77777777" w:rsidR="00B86DD8" w:rsidRPr="00B86DD8" w:rsidRDefault="00B86DD8" w:rsidP="00B86DD8">
      <w:pPr>
        <w:numPr>
          <w:ilvl w:val="0"/>
          <w:numId w:val="1"/>
        </w:numPr>
      </w:pPr>
      <w:r w:rsidRPr="00B86DD8">
        <w:rPr>
          <w:b/>
          <w:bCs/>
        </w:rPr>
        <w:t>27.7%</w:t>
      </w:r>
      <w:r w:rsidRPr="00B86DD8">
        <w:t xml:space="preserve"> said they would be moderately concerned that GST might negatively affect their business, and</w:t>
      </w:r>
    </w:p>
    <w:p w14:paraId="4868363A" w14:textId="77777777" w:rsidR="00B86DD8" w:rsidRPr="00B86DD8" w:rsidRDefault="00B86DD8" w:rsidP="00B86DD8">
      <w:r w:rsidRPr="00B86DD8">
        <w:t xml:space="preserve">Overall, </w:t>
      </w:r>
      <w:r w:rsidRPr="00B86DD8">
        <w:rPr>
          <w:b/>
          <w:bCs/>
        </w:rPr>
        <w:t>62 of the 65 businesses surveyed, or 95.4%, expressed either moderate or high concern</w:t>
      </w:r>
      <w:r w:rsidRPr="00B86DD8">
        <w:t xml:space="preserve">. </w:t>
      </w:r>
    </w:p>
    <w:p w14:paraId="60F51786" w14:textId="77777777" w:rsidR="00B86DD8" w:rsidRPr="00B86DD8" w:rsidRDefault="00B86DD8" w:rsidP="00B86DD8">
      <w:r w:rsidRPr="00B86DD8">
        <w:lastRenderedPageBreak/>
        <w:t>Importantly, the survey indicates that concerns about GST extend across established and currently viable businesses, regardless of their present trading performance.</w:t>
      </w:r>
    </w:p>
    <w:p w14:paraId="35946252" w14:textId="77777777" w:rsidR="00B86DD8" w:rsidRPr="00B86DD8" w:rsidRDefault="00B86DD8" w:rsidP="00B86DD8">
      <w:pPr>
        <w:rPr>
          <w:b/>
          <w:bCs/>
        </w:rPr>
      </w:pPr>
      <w:r w:rsidRPr="00B86DD8">
        <w:rPr>
          <w:b/>
          <w:bCs/>
        </w:rPr>
        <w:t>Possible effects on businesses</w:t>
      </w:r>
    </w:p>
    <w:p w14:paraId="188CBA2F" w14:textId="39C21C47" w:rsidR="00B86DD8" w:rsidRPr="00B86DD8" w:rsidRDefault="00B86DD8" w:rsidP="00B86DD8">
      <w:r w:rsidRPr="00B86DD8">
        <w:t>When asked what their concerns about GST might mean for their business</w:t>
      </w:r>
      <w:r w:rsidR="002B3DC1" w:rsidRPr="002B3DC1">
        <w:t>,</w:t>
      </w:r>
      <w:r w:rsidRPr="00B86DD8">
        <w:t xml:space="preserve"> </w:t>
      </w:r>
      <w:r w:rsidRPr="00B86DD8">
        <w:rPr>
          <w:b/>
          <w:bCs/>
        </w:rPr>
        <w:t>58.5% of those surveyed, identified possible closure or downsizing</w:t>
      </w:r>
      <w:r w:rsidRPr="00B86DD8">
        <w:t>.  Other respondents referred to possible price increases, reduced margins, additional administration, lower expenditure, postponed growth, and less capacity to recruit or reward staff.</w:t>
      </w:r>
    </w:p>
    <w:p w14:paraId="69CF611B" w14:textId="77777777" w:rsidR="00B86DD8" w:rsidRPr="00B86DD8" w:rsidRDefault="00B86DD8" w:rsidP="00B86DD8">
      <w:r w:rsidRPr="00B86DD8">
        <w:t>We do not present these responses as a forecast of confirmed closures or job losses; nor do we suggest that GST would necessarily be the sole cause of any future business decision.</w:t>
      </w:r>
    </w:p>
    <w:p w14:paraId="53CD4650" w14:textId="465B358A" w:rsidR="00B86DD8" w:rsidRPr="00B86DD8" w:rsidRDefault="00B86DD8" w:rsidP="00B86DD8">
      <w:r w:rsidRPr="00B86DD8">
        <w:t>Businesses are already managing many challenges including rising employment and operating costs, freight and supply-chain pressures, recruitment difficulties, uncertain consumer demand, commercial occupancy costs, regulatory requirements, and strong competition from off-</w:t>
      </w:r>
      <w:r w:rsidR="00FC1712">
        <w:t>i</w:t>
      </w:r>
      <w:r w:rsidRPr="00B86DD8">
        <w:t xml:space="preserve">sland and online businesses.  The importance of the findings is that many businesses see GST </w:t>
      </w:r>
      <w:proofErr w:type="gramStart"/>
      <w:r w:rsidRPr="00B86DD8">
        <w:t xml:space="preserve">as </w:t>
      </w:r>
      <w:r w:rsidRPr="00B86DD8">
        <w:rPr>
          <w:b/>
          <w:bCs/>
        </w:rPr>
        <w:t>yet</w:t>
      </w:r>
      <w:proofErr w:type="gramEnd"/>
      <w:r w:rsidRPr="00B86DD8">
        <w:rPr>
          <w:b/>
          <w:bCs/>
        </w:rPr>
        <w:t xml:space="preserve"> another significant challenge or headwind within an already demanding operating environment</w:t>
      </w:r>
      <w:r w:rsidRPr="00B86DD8">
        <w:t>.</w:t>
      </w:r>
    </w:p>
    <w:p w14:paraId="050F4E6C" w14:textId="77777777" w:rsidR="00B86DD8" w:rsidRPr="00B86DD8" w:rsidRDefault="00B86DD8" w:rsidP="00B86DD8">
      <w:r w:rsidRPr="00B86DD8">
        <w:t xml:space="preserve">The potential effect also extends beyond the headline rate of GST.  Respondents raised concerns about changes to accounting and point-of-sale systems, staff training, bookkeeping, professional fees, continuing administration, pressure to increase prices or accept lower margins, and the diversion of resources away from employment, investment, and growth. </w:t>
      </w:r>
    </w:p>
    <w:p w14:paraId="3740332B" w14:textId="77777777" w:rsidR="00B86DD8" w:rsidRPr="00B86DD8" w:rsidRDefault="00B86DD8" w:rsidP="00B86DD8">
      <w:r w:rsidRPr="00B86DD8">
        <w:t>The scale of the expected compliance cost varied considerably.  Some businesses anticipated relatively limited systems costs, particularly where compatible systems were already in place.  Others anticipated expenditure running into several thousand pounds, five-figure costs, or significant continuing administration.  As respondents calculated these estimates on different bases, we do not believe it would be appropriate to publish a single average figure.</w:t>
      </w:r>
    </w:p>
    <w:p w14:paraId="34F7B95C" w14:textId="77777777" w:rsidR="00B86DD8" w:rsidRPr="00B86DD8" w:rsidRDefault="00B86DD8" w:rsidP="00B86DD8">
      <w:r w:rsidRPr="00B86DD8">
        <w:t>For a larger organisation with specialist finance, IT, and administrative resources, implementation may be manageable.  For a smaller independent business, the same requirement may fall directly on an owner who is already responsible for purchasing, staffing, sales, marketing, customer service, and administration.</w:t>
      </w:r>
    </w:p>
    <w:p w14:paraId="1E8ED5DE" w14:textId="77777777" w:rsidR="00B86DD8" w:rsidRPr="00B86DD8" w:rsidRDefault="00B86DD8" w:rsidP="00B86DD8">
      <w:r w:rsidRPr="00B86DD8">
        <w:t>To protect respondents, the GRG will not release individual submissions, identifiable comments, or commercially sensitive information.</w:t>
      </w:r>
    </w:p>
    <w:p w14:paraId="68AF5826" w14:textId="77777777" w:rsidR="00B86DD8" w:rsidRPr="00B86DD8" w:rsidRDefault="00B86DD8" w:rsidP="00B86DD8">
      <w:pPr>
        <w:rPr>
          <w:b/>
          <w:bCs/>
        </w:rPr>
      </w:pPr>
      <w:r w:rsidRPr="00B86DD8">
        <w:rPr>
          <w:b/>
          <w:bCs/>
        </w:rPr>
        <w:t>Mitigation is not the same as growth</w:t>
      </w:r>
    </w:p>
    <w:p w14:paraId="29D593FB" w14:textId="77777777" w:rsidR="00B86DD8" w:rsidRPr="00B86DD8" w:rsidRDefault="00B86DD8" w:rsidP="00B86DD8">
      <w:r w:rsidRPr="00B86DD8">
        <w:t>The government’s own proposals recognise that retail and other consumer-facing sectors are vulnerable to cumulative taxation and cost pressures, and that reforms must be carefully sequenced.  We welcome that recognition.</w:t>
      </w:r>
    </w:p>
    <w:p w14:paraId="019AC66D" w14:textId="77777777" w:rsidR="00B86DD8" w:rsidRPr="00B86DD8" w:rsidRDefault="00B86DD8" w:rsidP="00B86DD8">
      <w:r w:rsidRPr="00B86DD8">
        <w:t>There are constructive elements within the current package, including implementation support and temporary protection from further increases in Tax on Real Property for certain sectors.  However, these measures are principally designed to mitigate the immediate effects of reform.</w:t>
      </w:r>
    </w:p>
    <w:p w14:paraId="29BAE697" w14:textId="77777777" w:rsidR="00B86DD8" w:rsidRPr="00B86DD8" w:rsidRDefault="00B86DD8" w:rsidP="00B86DD8">
      <w:r w:rsidRPr="00B86DD8">
        <w:lastRenderedPageBreak/>
        <w:t xml:space="preserve">They do not, by themselves, encourage businesses to expand, recruit, invest, modernise, improve productivity, or enhance their customer offer.  </w:t>
      </w:r>
      <w:r w:rsidRPr="00B86DD8">
        <w:rPr>
          <w:b/>
          <w:bCs/>
        </w:rPr>
        <w:t>Limiting potential harm is not the same as creating the conditions for economic growth.</w:t>
      </w:r>
    </w:p>
    <w:p w14:paraId="022D0208" w14:textId="77777777" w:rsidR="00B86DD8" w:rsidRPr="00B86DD8" w:rsidRDefault="00B86DD8" w:rsidP="00B86DD8">
      <w:r w:rsidRPr="00B86DD8">
        <w:t>Sequencing should therefore not mean introducing taxation first and considering measures to strengthen the economy afterwards.  It should mean putting the conditions for resilience and growth in place well before additional burdens take effect.</w:t>
      </w:r>
    </w:p>
    <w:p w14:paraId="13B39D5A" w14:textId="77777777" w:rsidR="00B86DD8" w:rsidRPr="00B86DD8" w:rsidRDefault="00B86DD8" w:rsidP="00B86DD8">
      <w:pPr>
        <w:rPr>
          <w:b/>
          <w:bCs/>
        </w:rPr>
      </w:pPr>
      <w:r w:rsidRPr="00B86DD8">
        <w:rPr>
          <w:b/>
          <w:bCs/>
        </w:rPr>
        <w:t>Creating a more level competitive environment</w:t>
      </w:r>
    </w:p>
    <w:p w14:paraId="6CA83683" w14:textId="7591AAFA" w:rsidR="00B86DD8" w:rsidRPr="00B86DD8" w:rsidRDefault="00B86DD8" w:rsidP="00B86DD8">
      <w:r w:rsidRPr="00B86DD8">
        <w:t xml:space="preserve">Local businesses employ local people, occupy and maintain premises, pay local payroll costs, support local suppliers, absorb freight and warehousing costs, operate within Guernsey’s regulatory framework, and contribute to the vitality of the </w:t>
      </w:r>
      <w:r w:rsidR="003E1F1B">
        <w:t>i</w:t>
      </w:r>
      <w:r w:rsidRPr="00B86DD8">
        <w:t>sland’s commercial areas.</w:t>
      </w:r>
    </w:p>
    <w:p w14:paraId="0C402A41" w14:textId="718E3E5D" w:rsidR="00B86DD8" w:rsidRPr="00B86DD8" w:rsidRDefault="00B86DD8" w:rsidP="00B86DD8">
      <w:r w:rsidRPr="00B86DD8">
        <w:t>Off-</w:t>
      </w:r>
      <w:r w:rsidR="000519CC">
        <w:t>i</w:t>
      </w:r>
      <w:r w:rsidRPr="00B86DD8">
        <w:t>sland sellers can transact with Guernsey consumers without necessarily making the same place-based contribution to employment, premises, local supply chains, or community life.</w:t>
      </w:r>
    </w:p>
    <w:p w14:paraId="14A1B5A4" w14:textId="61FB7BE1" w:rsidR="00B86DD8" w:rsidRPr="00B86DD8" w:rsidRDefault="00B86DD8" w:rsidP="00B86DD8">
      <w:r w:rsidRPr="00B86DD8">
        <w:t>Local businesses cannot always respond to higher costs simply by increasing their prices.  Consumers can compare prices easily with off-</w:t>
      </w:r>
      <w:r w:rsidR="000519CC">
        <w:t>i</w:t>
      </w:r>
      <w:r w:rsidRPr="00B86DD8">
        <w:t>sland alternatives, meaning businesses may face a choice between passing costs to customers and risking lost sales, or absorbing those costs through reduced margins and having less capacity to invest, recruit, and grow.</w:t>
      </w:r>
    </w:p>
    <w:p w14:paraId="1AC206A2" w14:textId="1B89B674" w:rsidR="00B86DD8" w:rsidRPr="00B86DD8" w:rsidRDefault="00B86DD8" w:rsidP="00B86DD8">
      <w:r w:rsidRPr="00B86DD8">
        <w:t xml:space="preserve">Tax reform must therefore consider economic leakage.  Additional household spending power will not automatically strengthen Guernsey’s economy if a growing proportion of consumer expenditure immediately leaves the </w:t>
      </w:r>
      <w:r w:rsidR="00C95E7C">
        <w:t>i</w:t>
      </w:r>
      <w:r w:rsidRPr="00B86DD8">
        <w:t>sland.</w:t>
      </w:r>
    </w:p>
    <w:p w14:paraId="20853538" w14:textId="77777777" w:rsidR="00B86DD8" w:rsidRPr="00B86DD8" w:rsidRDefault="00B86DD8" w:rsidP="00B86DD8">
      <w:pPr>
        <w:rPr>
          <w:b/>
          <w:bCs/>
        </w:rPr>
      </w:pPr>
      <w:r w:rsidRPr="00B86DD8">
        <w:rPr>
          <w:b/>
          <w:bCs/>
        </w:rPr>
        <w:t>The wider importance of the consumer economy</w:t>
      </w:r>
    </w:p>
    <w:p w14:paraId="315759F2" w14:textId="77777777" w:rsidR="00B86DD8" w:rsidRPr="00B86DD8" w:rsidRDefault="00B86DD8" w:rsidP="00B86DD8">
      <w:r w:rsidRPr="00B86DD8">
        <w:t>This issue extends well beyond retail.  Guernsey’s consumer economy includes hospitality, leisure, tourism, personal services, transport, commercial property, and a wide network of local suppliers.</w:t>
      </w:r>
    </w:p>
    <w:p w14:paraId="7F226004" w14:textId="77777777" w:rsidR="00B86DD8" w:rsidRPr="00B86DD8" w:rsidRDefault="00B86DD8" w:rsidP="00B86DD8">
      <w:r w:rsidRPr="00B86DD8">
        <w:t>These businesses provide employment, generate household income, occupy commercial premises, support other local enterprises, and contribute to the attractiveness of Guernsey as a place in which to live, work, visit, and invest.</w:t>
      </w:r>
    </w:p>
    <w:p w14:paraId="64CA881D" w14:textId="77777777" w:rsidR="00B86DD8" w:rsidRPr="00B86DD8" w:rsidRDefault="00B86DD8" w:rsidP="00B86DD8">
      <w:r w:rsidRPr="00B86DD8">
        <w:t>A decline in this interconnected ecosystem would have consequences far beyond the businesses directly affected.  It could reduce employment and consumer choice, weaken commercial occupancy, discourage investment, and fundamentally alter the appearance and everyday life of St Peter Port Town Centre, The Bridge, and other commercial centres.</w:t>
      </w:r>
    </w:p>
    <w:p w14:paraId="48D4BABE" w14:textId="77777777" w:rsidR="00B86DD8" w:rsidRPr="00B86DD8" w:rsidRDefault="00B86DD8" w:rsidP="00B86DD8">
      <w:r w:rsidRPr="00B86DD8">
        <w:t>These areas should not be viewed simply as collections of private businesses.  They are important economic and community assets.  Once a strong and diverse local business community has been lost, it is considerably more difficult and costly to rebuild.</w:t>
      </w:r>
    </w:p>
    <w:p w14:paraId="240CEEAE" w14:textId="77777777" w:rsidR="00B86DD8" w:rsidRPr="00B86DD8" w:rsidRDefault="00B86DD8" w:rsidP="00B86DD8">
      <w:pPr>
        <w:rPr>
          <w:b/>
          <w:bCs/>
        </w:rPr>
      </w:pPr>
      <w:r w:rsidRPr="00B86DD8">
        <w:rPr>
          <w:b/>
          <w:bCs/>
        </w:rPr>
        <w:t>Learning from the experience of UK town centres</w:t>
      </w:r>
    </w:p>
    <w:p w14:paraId="1F2D5305" w14:textId="77777777" w:rsidR="00B86DD8" w:rsidRPr="00B86DD8" w:rsidRDefault="00B86DD8" w:rsidP="00B86DD8">
      <w:r w:rsidRPr="00B86DD8">
        <w:t xml:space="preserve">Across the UK, there is growing political recognition that successful town centres cannot be taken for granted.  In January 2026, the UK Government announced £150 million of support intended to assist </w:t>
      </w:r>
      <w:r w:rsidRPr="00B86DD8">
        <w:lastRenderedPageBreak/>
        <w:t>independent businesses, improve neglected shopfronts, bring empty units back into use, and restore community pride, as the first stage of a wider High Streets Strategy.</w:t>
      </w:r>
    </w:p>
    <w:p w14:paraId="28D69712" w14:textId="25BD542C" w:rsidR="00B86DD8" w:rsidRPr="00B86DD8" w:rsidRDefault="00B86DD8" w:rsidP="00B86DD8">
      <w:r w:rsidRPr="00B86DD8">
        <w:t xml:space="preserve">Guernsey does not need to copy the UK model, but it should learn from the wider experience.  The central lesson is that waiting for decline to become established makes regeneration more difficult and costly.  Guernsey still has an opportunity to act early, but it must take seriously the indicators already visible within the </w:t>
      </w:r>
      <w:r w:rsidR="003E1F1B">
        <w:t>i</w:t>
      </w:r>
      <w:r w:rsidRPr="00B86DD8">
        <w:t>sland.</w:t>
      </w:r>
    </w:p>
    <w:p w14:paraId="4B6E667B" w14:textId="04966492" w:rsidR="00B86DD8" w:rsidRPr="00B86DD8" w:rsidRDefault="00B86DD8" w:rsidP="00B86DD8">
      <w:r w:rsidRPr="00B86DD8">
        <w:t xml:space="preserve">Our own research has identified concerns about retail variety, accessibility, parking, physical appearance, and the overall experience of the </w:t>
      </w:r>
      <w:r w:rsidR="00C95E7C">
        <w:t>i</w:t>
      </w:r>
      <w:r w:rsidRPr="00B86DD8">
        <w:t>sland’s commercial centres.  The latest business survey adds evidence of concerns about future viability, investment, employment, and the cumulative effect of rising costs and additional obligations.  Together, these findings should be treated as early warning indicators requiring prompt and coordinated action.</w:t>
      </w:r>
    </w:p>
    <w:p w14:paraId="655E4776" w14:textId="77777777" w:rsidR="00B86DD8" w:rsidRPr="00B86DD8" w:rsidRDefault="00B86DD8" w:rsidP="00B86DD8">
      <w:pPr>
        <w:rPr>
          <w:b/>
          <w:bCs/>
        </w:rPr>
      </w:pPr>
      <w:r w:rsidRPr="00B86DD8">
        <w:rPr>
          <w:b/>
          <w:bCs/>
        </w:rPr>
        <w:t>A constructive package for growth</w:t>
      </w:r>
    </w:p>
    <w:p w14:paraId="6CE85E58" w14:textId="77777777" w:rsidR="00B86DD8" w:rsidRPr="00B86DD8" w:rsidRDefault="00B86DD8" w:rsidP="00B86DD8">
      <w:r w:rsidRPr="00B86DD8">
        <w:t>The GRG’s earlier submission did not advance one isolated proposal.  It set out a broader programme intended to strengthen Guernsey’s economy and improve its long-term resilience.</w:t>
      </w:r>
    </w:p>
    <w:p w14:paraId="29784610" w14:textId="77777777" w:rsidR="00B86DD8" w:rsidRPr="00B86DD8" w:rsidRDefault="00B86DD8" w:rsidP="00B86DD8">
      <w:r w:rsidRPr="00B86DD8">
        <w:t xml:space="preserve">One element was the proposed </w:t>
      </w:r>
      <w:r w:rsidRPr="00B86DD8">
        <w:rPr>
          <w:b/>
          <w:bCs/>
        </w:rPr>
        <w:t>Local Economic Contribution Rebate Scheme</w:t>
      </w:r>
      <w:r w:rsidRPr="00B86DD8">
        <w:t>.  This would use transparent and objective criteria to recognise businesses that create measurable value within Guernsey through local employment, payroll, commercial premises, capital investment, apprenticeships, training, and workforce development.</w:t>
      </w:r>
    </w:p>
    <w:p w14:paraId="0624A377" w14:textId="62F37347" w:rsidR="00B86DD8" w:rsidRPr="00B86DD8" w:rsidRDefault="00B86DD8" w:rsidP="00B86DD8">
      <w:r w:rsidRPr="00B86DD8">
        <w:t xml:space="preserve">The mechanism would be separate from GST and would not favour a business simply because it was locally owned.  Its purpose would be to recognise and encourage economic activity that produces an ongoing benefit for the </w:t>
      </w:r>
      <w:r w:rsidR="003E1F1B">
        <w:t>i</w:t>
      </w:r>
      <w:r w:rsidRPr="00B86DD8">
        <w:t>sland.</w:t>
      </w:r>
    </w:p>
    <w:p w14:paraId="469FC2EE" w14:textId="77777777" w:rsidR="00B86DD8" w:rsidRPr="00B86DD8" w:rsidRDefault="00B86DD8" w:rsidP="00B86DD8">
      <w:r w:rsidRPr="00B86DD8">
        <w:t>Our wider recommendations included:</w:t>
      </w:r>
    </w:p>
    <w:p w14:paraId="7A05EEDD" w14:textId="77777777" w:rsidR="00B86DD8" w:rsidRPr="00B86DD8" w:rsidRDefault="00B86DD8" w:rsidP="00B86DD8">
      <w:pPr>
        <w:numPr>
          <w:ilvl w:val="0"/>
          <w:numId w:val="2"/>
        </w:numPr>
      </w:pPr>
      <w:r w:rsidRPr="00B86DD8">
        <w:rPr>
          <w:b/>
          <w:bCs/>
        </w:rPr>
        <w:t>Treating economic growth as a central part of fiscal sustainability</w:t>
      </w:r>
      <w:r w:rsidRPr="00B86DD8">
        <w:t>, alongside revenue raising and expenditure control.</w:t>
      </w:r>
    </w:p>
    <w:p w14:paraId="50A97C49" w14:textId="77777777" w:rsidR="00B86DD8" w:rsidRPr="00B86DD8" w:rsidRDefault="00B86DD8" w:rsidP="00B86DD8">
      <w:pPr>
        <w:numPr>
          <w:ilvl w:val="0"/>
          <w:numId w:val="2"/>
        </w:numPr>
      </w:pPr>
      <w:r w:rsidRPr="00B86DD8">
        <w:rPr>
          <w:b/>
          <w:bCs/>
        </w:rPr>
        <w:t>Undertaking a cumulative impact assessment</w:t>
      </w:r>
      <w:r w:rsidRPr="00B86DD8">
        <w:t xml:space="preserve"> covering the effects of the complete reform package on businesses, consumer prices, employment, investment, demand, and competitiveness.</w:t>
      </w:r>
    </w:p>
    <w:p w14:paraId="1111DADC" w14:textId="567E3277" w:rsidR="00B86DD8" w:rsidRPr="00B86DD8" w:rsidRDefault="00B86DD8" w:rsidP="00B86DD8">
      <w:pPr>
        <w:numPr>
          <w:ilvl w:val="0"/>
          <w:numId w:val="2"/>
        </w:numPr>
      </w:pPr>
      <w:r w:rsidRPr="00B86DD8">
        <w:rPr>
          <w:b/>
          <w:bCs/>
        </w:rPr>
        <w:t>Ensuring genuine parity between local and imported consumption</w:t>
      </w:r>
      <w:r w:rsidRPr="00B86DD8">
        <w:t>, supported by effective and consistent treatment of significant off-</w:t>
      </w:r>
      <w:r w:rsidR="00C95E7C">
        <w:t>i</w:t>
      </w:r>
      <w:r w:rsidRPr="00B86DD8">
        <w:t>sland sellers.</w:t>
      </w:r>
    </w:p>
    <w:p w14:paraId="7505D155" w14:textId="77777777" w:rsidR="00B86DD8" w:rsidRPr="00B86DD8" w:rsidRDefault="00B86DD8" w:rsidP="00B86DD8">
      <w:pPr>
        <w:numPr>
          <w:ilvl w:val="0"/>
          <w:numId w:val="2"/>
        </w:numPr>
      </w:pPr>
      <w:r w:rsidRPr="00B86DD8">
        <w:rPr>
          <w:b/>
          <w:bCs/>
        </w:rPr>
        <w:t>Providing incentives for local business investment</w:t>
      </w:r>
      <w:r w:rsidRPr="00B86DD8">
        <w:t>, including productivity improvements, digitisation, premises, energy efficiency, training, and logistics.</w:t>
      </w:r>
    </w:p>
    <w:p w14:paraId="7B3C988B" w14:textId="77777777" w:rsidR="00B86DD8" w:rsidRPr="00B86DD8" w:rsidRDefault="00B86DD8" w:rsidP="00B86DD8">
      <w:pPr>
        <w:numPr>
          <w:ilvl w:val="0"/>
          <w:numId w:val="2"/>
        </w:numPr>
      </w:pPr>
      <w:r w:rsidRPr="00B86DD8">
        <w:rPr>
          <w:b/>
          <w:bCs/>
        </w:rPr>
        <w:t>Treating St Peter Port, The Bridge, and other commercial areas as economic infrastructure</w:t>
      </w:r>
      <w:r w:rsidRPr="00B86DD8">
        <w:t>, supported by coordinated improvements to access, parking, appearance, public spaces, and place-making.</w:t>
      </w:r>
    </w:p>
    <w:p w14:paraId="5EB517A3" w14:textId="77777777" w:rsidR="00B86DD8" w:rsidRPr="00B86DD8" w:rsidRDefault="00B86DD8" w:rsidP="00B86DD8">
      <w:pPr>
        <w:numPr>
          <w:ilvl w:val="0"/>
          <w:numId w:val="2"/>
        </w:numPr>
      </w:pPr>
      <w:r w:rsidRPr="00B86DD8">
        <w:rPr>
          <w:b/>
          <w:bCs/>
        </w:rPr>
        <w:lastRenderedPageBreak/>
        <w:t>Introducing clear economic safeguards before considering further taxation of retail</w:t>
      </w:r>
      <w:r w:rsidRPr="00B86DD8">
        <w:t>, including evidence of sector stability, business viability, consumer confidence, and improved competitiveness.</w:t>
      </w:r>
    </w:p>
    <w:p w14:paraId="6458ADE4" w14:textId="77777777" w:rsidR="00B86DD8" w:rsidRPr="00B86DD8" w:rsidRDefault="00B86DD8" w:rsidP="00B86DD8">
      <w:pPr>
        <w:numPr>
          <w:ilvl w:val="0"/>
          <w:numId w:val="2"/>
        </w:numPr>
      </w:pPr>
      <w:r w:rsidRPr="00B86DD8">
        <w:rPr>
          <w:b/>
          <w:bCs/>
        </w:rPr>
        <w:t>Maintaining structured engagement with business representatives</w:t>
      </w:r>
      <w:r w:rsidRPr="00B86DD8">
        <w:t>, so that policy can be informed by current evidence and practical experience.</w:t>
      </w:r>
    </w:p>
    <w:p w14:paraId="3913F053" w14:textId="77777777" w:rsidR="00B86DD8" w:rsidRPr="00B86DD8" w:rsidRDefault="00B86DD8" w:rsidP="00B86DD8">
      <w:pPr>
        <w:rPr>
          <w:b/>
          <w:bCs/>
        </w:rPr>
      </w:pPr>
      <w:r w:rsidRPr="00B86DD8">
        <w:rPr>
          <w:b/>
          <w:bCs/>
        </w:rPr>
        <w:t>Action is needed before taxation</w:t>
      </w:r>
    </w:p>
    <w:p w14:paraId="4CF77A97" w14:textId="77777777" w:rsidR="00B86DD8" w:rsidRPr="00B86DD8" w:rsidRDefault="00B86DD8" w:rsidP="00B86DD8">
      <w:r w:rsidRPr="00B86DD8">
        <w:t>The GRG is asking for these growth measures to be developed and introduced at the earliest opportunity, well ahead of any planned changes to taxation.</w:t>
      </w:r>
    </w:p>
    <w:p w14:paraId="4D26D5E9" w14:textId="77777777" w:rsidR="00B86DD8" w:rsidRPr="00B86DD8" w:rsidRDefault="00B86DD8" w:rsidP="00B86DD8">
      <w:r w:rsidRPr="00B86DD8">
        <w:t>Businesses make decisions about recruitment, investment, premises, succession, and their long-term future over considerable periods.  A promise that government may respond after the effect of tax reform has become visible will not provide businesses with the confidence required to make those commitments today.</w:t>
      </w:r>
    </w:p>
    <w:p w14:paraId="65E92A6D" w14:textId="77777777" w:rsidR="00B86DD8" w:rsidRPr="00B86DD8" w:rsidRDefault="00B86DD8" w:rsidP="00B86DD8">
      <w:r w:rsidRPr="00B86DD8">
        <w:t>We therefore ask Members to assess the package against four fundamental questions:</w:t>
      </w:r>
    </w:p>
    <w:p w14:paraId="3D0D8F2F" w14:textId="77777777" w:rsidR="00B86DD8" w:rsidRPr="00B86DD8" w:rsidRDefault="00B86DD8" w:rsidP="00B86DD8">
      <w:pPr>
        <w:numPr>
          <w:ilvl w:val="0"/>
          <w:numId w:val="3"/>
        </w:numPr>
      </w:pPr>
      <w:r w:rsidRPr="00B86DD8">
        <w:rPr>
          <w:b/>
          <w:bCs/>
        </w:rPr>
        <w:t>Will it raise the required revenue reliably and proportionately?</w:t>
      </w:r>
    </w:p>
    <w:p w14:paraId="4C3AD404" w14:textId="77777777" w:rsidR="00B86DD8" w:rsidRPr="00B86DD8" w:rsidRDefault="00B86DD8" w:rsidP="00B86DD8">
      <w:pPr>
        <w:numPr>
          <w:ilvl w:val="0"/>
          <w:numId w:val="3"/>
        </w:numPr>
      </w:pPr>
      <w:r w:rsidRPr="00B86DD8">
        <w:rPr>
          <w:b/>
          <w:bCs/>
        </w:rPr>
        <w:t>What will be its cumulative effect on prices, demand, employment, investment, and business viability?</w:t>
      </w:r>
    </w:p>
    <w:p w14:paraId="07E48469" w14:textId="2DBA1950" w:rsidR="00B86DD8" w:rsidRPr="00B86DD8" w:rsidRDefault="00B86DD8" w:rsidP="00B86DD8">
      <w:pPr>
        <w:numPr>
          <w:ilvl w:val="0"/>
          <w:numId w:val="3"/>
        </w:numPr>
      </w:pPr>
      <w:r w:rsidRPr="00B86DD8">
        <w:rPr>
          <w:b/>
          <w:bCs/>
        </w:rPr>
        <w:t>Will it ensure fair and effective treatment between locally rooted businesses and off-</w:t>
      </w:r>
      <w:r w:rsidR="003E1F1B">
        <w:rPr>
          <w:b/>
          <w:bCs/>
        </w:rPr>
        <w:t>i</w:t>
      </w:r>
      <w:r w:rsidRPr="00B86DD8">
        <w:rPr>
          <w:b/>
          <w:bCs/>
        </w:rPr>
        <w:t>sland sellers?</w:t>
      </w:r>
    </w:p>
    <w:p w14:paraId="64B85349" w14:textId="77777777" w:rsidR="00B86DD8" w:rsidRPr="00B86DD8" w:rsidRDefault="00B86DD8" w:rsidP="00B86DD8">
      <w:pPr>
        <w:numPr>
          <w:ilvl w:val="0"/>
          <w:numId w:val="3"/>
        </w:numPr>
      </w:pPr>
      <w:r w:rsidRPr="00B86DD8">
        <w:rPr>
          <w:b/>
          <w:bCs/>
        </w:rPr>
        <w:t>What measures will actively grow the economy and future tax base, rather than simply mitigating immediate harm?</w:t>
      </w:r>
    </w:p>
    <w:p w14:paraId="0E5FF8A1" w14:textId="12613310" w:rsidR="00B86DD8" w:rsidRPr="00B86DD8" w:rsidRDefault="00B86DD8" w:rsidP="00B86DD8">
      <w:r w:rsidRPr="00B86DD8">
        <w:t xml:space="preserve">Guernsey cannot secure long-term fiscal sustainability through taxation alone.  A stronger economy, increased productivity, greater private-sector investment, and the retention of more expenditure within the </w:t>
      </w:r>
      <w:r w:rsidR="003E1F1B">
        <w:t>i</w:t>
      </w:r>
      <w:r w:rsidRPr="00B86DD8">
        <w:t>sland must all form part of the solution.</w:t>
      </w:r>
    </w:p>
    <w:p w14:paraId="12D1FB8D" w14:textId="77777777" w:rsidR="00B86DD8" w:rsidRPr="00B86DD8" w:rsidRDefault="00B86DD8" w:rsidP="00B86DD8">
      <w:pPr>
        <w:rPr>
          <w:b/>
          <w:bCs/>
        </w:rPr>
      </w:pPr>
      <w:r w:rsidRPr="00B86DD8">
        <w:rPr>
          <w:b/>
          <w:bCs/>
        </w:rPr>
        <w:t>Taxation can raise revenue from the economy Guernsey has today.  Growth is what will strengthen the economy and tax base Guernsey will depend upon tomorrow, while helping to preserve a vibrant and diverse business sector that meets the needs of residents and visitors.</w:t>
      </w:r>
    </w:p>
    <w:p w14:paraId="1CAC1981" w14:textId="76BFB185" w:rsidR="00B86DD8" w:rsidRPr="00FC1712" w:rsidRDefault="00FC1712" w:rsidP="00B86DD8">
      <w:pPr>
        <w:rPr>
          <w:b/>
          <w:bCs/>
          <w:i/>
          <w:iCs/>
        </w:rPr>
      </w:pPr>
      <w:r w:rsidRPr="00FC1712">
        <w:rPr>
          <w:b/>
          <w:bCs/>
          <w:i/>
          <w:iCs/>
        </w:rPr>
        <w:t>Signed: The Directors of the Guernsey Retail Group</w:t>
      </w:r>
    </w:p>
    <w:p w14:paraId="115B3612" w14:textId="2F57BA43" w:rsidR="00B86DD8" w:rsidRPr="00FC1712" w:rsidRDefault="00FC1712" w:rsidP="00FC1712">
      <w:pPr>
        <w:jc w:val="center"/>
        <w:rPr>
          <w:b/>
          <w:bCs/>
        </w:rPr>
      </w:pPr>
      <w:r w:rsidRPr="00FC1712">
        <w:rPr>
          <w:b/>
          <w:bCs/>
        </w:rPr>
        <w:t>ENDS</w:t>
      </w:r>
    </w:p>
    <w:p w14:paraId="7335F999" w14:textId="77777777" w:rsidR="00B86DD8" w:rsidRPr="00B86DD8" w:rsidRDefault="00B86DD8" w:rsidP="00B86DD8"/>
    <w:p w14:paraId="767AB815" w14:textId="16CDB7DA" w:rsidR="003E4A61" w:rsidRPr="008951F5" w:rsidRDefault="003E4A61" w:rsidP="003E4A61"/>
    <w:sectPr w:rsidR="003E4A61" w:rsidRPr="008951F5" w:rsidSect="00AD396F">
      <w:headerReference w:type="default" r:id="rId8"/>
      <w:headerReference w:type="first" r:id="rId9"/>
      <w:footerReference w:type="first" r:id="rId10"/>
      <w:pgSz w:w="11906" w:h="16838"/>
      <w:pgMar w:top="720" w:right="964" w:bottom="1843" w:left="964" w:header="147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B396" w14:textId="77777777" w:rsidR="00A7235B" w:rsidRDefault="00A7235B" w:rsidP="00002AF1">
      <w:pPr>
        <w:spacing w:after="0" w:line="240" w:lineRule="auto"/>
      </w:pPr>
      <w:r>
        <w:separator/>
      </w:r>
    </w:p>
  </w:endnote>
  <w:endnote w:type="continuationSeparator" w:id="0">
    <w:p w14:paraId="51AF9B7B" w14:textId="77777777" w:rsidR="00A7235B" w:rsidRDefault="00A7235B" w:rsidP="0000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5A90" w14:textId="77777777" w:rsidR="008A03B5" w:rsidRDefault="008A03B5">
    <w:pPr>
      <w:pStyle w:val="Footer"/>
    </w:pPr>
    <w:r>
      <w:rPr>
        <w:noProof/>
      </w:rPr>
      <w:drawing>
        <wp:anchor distT="0" distB="0" distL="114300" distR="114300" simplePos="0" relativeHeight="251663360" behindDoc="0" locked="0" layoutInCell="1" allowOverlap="0" wp14:anchorId="3C245128" wp14:editId="23A58E86">
          <wp:simplePos x="0" y="0"/>
          <wp:positionH relativeFrom="page">
            <wp:posOffset>2540</wp:posOffset>
          </wp:positionH>
          <wp:positionV relativeFrom="page">
            <wp:posOffset>9652000</wp:posOffset>
          </wp:positionV>
          <wp:extent cx="7555542" cy="1021714"/>
          <wp:effectExtent l="0" t="0" r="0" b="7620"/>
          <wp:wrapTopAndBottom/>
          <wp:docPr id="1691235704" name="Picture 2">
            <a:extLst xmlns:a="http://schemas.openxmlformats.org/drawingml/2006/main">
              <a:ext uri="{FF2B5EF4-FFF2-40B4-BE49-F238E27FC236}">
                <a16:creationId xmlns:a16="http://schemas.microsoft.com/office/drawing/2014/main" id="{490FFCC8-0581-4ECB-A9CE-EBA99D4A91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31627" name="Picture 1264031627"/>
                  <pic:cNvPicPr/>
                </pic:nvPicPr>
                <pic:blipFill>
                  <a:blip r:embed="rId1">
                    <a:extLst>
                      <a:ext uri="{28A0092B-C50C-407E-A947-70E740481C1C}">
                        <a14:useLocalDpi xmlns:a14="http://schemas.microsoft.com/office/drawing/2010/main" val="0"/>
                      </a:ext>
                    </a:extLst>
                  </a:blip>
                  <a:stretch>
                    <a:fillRect/>
                  </a:stretch>
                </pic:blipFill>
                <pic:spPr>
                  <a:xfrm>
                    <a:off x="0" y="0"/>
                    <a:ext cx="7555542" cy="102171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5625D" w14:textId="77777777" w:rsidR="00A7235B" w:rsidRDefault="00A7235B" w:rsidP="00002AF1">
      <w:pPr>
        <w:spacing w:after="0" w:line="240" w:lineRule="auto"/>
      </w:pPr>
      <w:r>
        <w:separator/>
      </w:r>
    </w:p>
  </w:footnote>
  <w:footnote w:type="continuationSeparator" w:id="0">
    <w:p w14:paraId="6A409200" w14:textId="77777777" w:rsidR="00A7235B" w:rsidRDefault="00A7235B" w:rsidP="00002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2020" w14:textId="77777777" w:rsidR="00F63F2F" w:rsidRDefault="00F63F2F">
    <w:pPr>
      <w:pStyle w:val="Header"/>
    </w:pPr>
    <w:r>
      <w:rPr>
        <w:noProof/>
      </w:rPr>
      <w:drawing>
        <wp:anchor distT="0" distB="0" distL="114300" distR="114300" simplePos="0" relativeHeight="251635200" behindDoc="1" locked="0" layoutInCell="1" allowOverlap="0" wp14:anchorId="3B0196D1" wp14:editId="51230AF6">
          <wp:simplePos x="0" y="0"/>
          <wp:positionH relativeFrom="margin">
            <wp:align>right</wp:align>
          </wp:positionH>
          <wp:positionV relativeFrom="page">
            <wp:posOffset>180340</wp:posOffset>
          </wp:positionV>
          <wp:extent cx="1180800" cy="1245600"/>
          <wp:effectExtent l="0" t="0" r="635" b="0"/>
          <wp:wrapTopAndBottom/>
          <wp:docPr id="790752747" name="Picture 1">
            <a:extLst xmlns:a="http://schemas.openxmlformats.org/drawingml/2006/main">
              <a:ext uri="{FF2B5EF4-FFF2-40B4-BE49-F238E27FC236}">
                <a16:creationId xmlns:a16="http://schemas.microsoft.com/office/drawing/2014/main" id="{31CE882F-D856-4A5C-95C1-C5E6D702C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79317" name="Picture 981179317"/>
                  <pic:cNvPicPr/>
                </pic:nvPicPr>
                <pic:blipFill>
                  <a:blip r:embed="rId1">
                    <a:extLst>
                      <a:ext uri="{28A0092B-C50C-407E-A947-70E740481C1C}">
                        <a14:useLocalDpi xmlns:a14="http://schemas.microsoft.com/office/drawing/2010/main" val="0"/>
                      </a:ext>
                    </a:extLst>
                  </a:blip>
                  <a:stretch>
                    <a:fillRect/>
                  </a:stretch>
                </pic:blipFill>
                <pic:spPr>
                  <a:xfrm>
                    <a:off x="0" y="0"/>
                    <a:ext cx="1180800" cy="124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4924" w14:textId="77777777" w:rsidR="008B5511" w:rsidRDefault="008B5511">
    <w:pPr>
      <w:pStyle w:val="Header"/>
    </w:pPr>
    <w:r>
      <w:rPr>
        <w:noProof/>
      </w:rPr>
      <w:drawing>
        <wp:anchor distT="0" distB="0" distL="114300" distR="114300" simplePos="0" relativeHeight="251728384" behindDoc="1" locked="0" layoutInCell="1" allowOverlap="0" wp14:anchorId="131951AF" wp14:editId="29D0F1A4">
          <wp:simplePos x="0" y="0"/>
          <wp:positionH relativeFrom="page">
            <wp:align>center</wp:align>
          </wp:positionH>
          <wp:positionV relativeFrom="page">
            <wp:posOffset>180340</wp:posOffset>
          </wp:positionV>
          <wp:extent cx="1465200" cy="1544400"/>
          <wp:effectExtent l="0" t="0" r="1905" b="0"/>
          <wp:wrapTopAndBottom/>
          <wp:docPr id="1844760298" name="Picture 1">
            <a:extLst xmlns:a="http://schemas.openxmlformats.org/drawingml/2006/main">
              <a:ext uri="{FF2B5EF4-FFF2-40B4-BE49-F238E27FC236}">
                <a16:creationId xmlns:a16="http://schemas.microsoft.com/office/drawing/2014/main" id="{3E709B17-2904-4B91-966B-877706999F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79317" name="Picture 981179317"/>
                  <pic:cNvPicPr/>
                </pic:nvPicPr>
                <pic:blipFill>
                  <a:blip r:embed="rId1">
                    <a:extLst>
                      <a:ext uri="{28A0092B-C50C-407E-A947-70E740481C1C}">
                        <a14:useLocalDpi xmlns:a14="http://schemas.microsoft.com/office/drawing/2010/main" val="0"/>
                      </a:ext>
                    </a:extLst>
                  </a:blip>
                  <a:stretch>
                    <a:fillRect/>
                  </a:stretch>
                </pic:blipFill>
                <pic:spPr>
                  <a:xfrm>
                    <a:off x="0" y="0"/>
                    <a:ext cx="1465200" cy="154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76DF6"/>
    <w:multiLevelType w:val="multilevel"/>
    <w:tmpl w:val="9192FB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2AC037B"/>
    <w:multiLevelType w:val="multilevel"/>
    <w:tmpl w:val="692E6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17682A"/>
    <w:multiLevelType w:val="multilevel"/>
    <w:tmpl w:val="ABA2E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04095483">
    <w:abstractNumId w:val="1"/>
    <w:lvlOverride w:ilvl="0"/>
    <w:lvlOverride w:ilvl="1"/>
    <w:lvlOverride w:ilvl="2"/>
    <w:lvlOverride w:ilvl="3"/>
    <w:lvlOverride w:ilvl="4"/>
    <w:lvlOverride w:ilvl="5"/>
    <w:lvlOverride w:ilvl="6"/>
    <w:lvlOverride w:ilvl="7"/>
    <w:lvlOverride w:ilvl="8"/>
  </w:num>
  <w:num w:numId="2" w16cid:durableId="1758547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1706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F1"/>
    <w:rsid w:val="00002AF1"/>
    <w:rsid w:val="00007AE1"/>
    <w:rsid w:val="000123AA"/>
    <w:rsid w:val="0002254A"/>
    <w:rsid w:val="00023882"/>
    <w:rsid w:val="000519CC"/>
    <w:rsid w:val="000539C9"/>
    <w:rsid w:val="00060E91"/>
    <w:rsid w:val="0007008C"/>
    <w:rsid w:val="0007306C"/>
    <w:rsid w:val="00074DFE"/>
    <w:rsid w:val="000823F9"/>
    <w:rsid w:val="000A2A1C"/>
    <w:rsid w:val="000B1579"/>
    <w:rsid w:val="000B6292"/>
    <w:rsid w:val="000C36D7"/>
    <w:rsid w:val="000C60D2"/>
    <w:rsid w:val="000D5CA9"/>
    <w:rsid w:val="000D724B"/>
    <w:rsid w:val="000E1FA0"/>
    <w:rsid w:val="000E4764"/>
    <w:rsid w:val="000F056A"/>
    <w:rsid w:val="000F0D47"/>
    <w:rsid w:val="000F152A"/>
    <w:rsid w:val="000F52CA"/>
    <w:rsid w:val="000F5892"/>
    <w:rsid w:val="0010293E"/>
    <w:rsid w:val="00105C61"/>
    <w:rsid w:val="00112B0F"/>
    <w:rsid w:val="0011443D"/>
    <w:rsid w:val="00120824"/>
    <w:rsid w:val="001221DB"/>
    <w:rsid w:val="0012603B"/>
    <w:rsid w:val="00127BC2"/>
    <w:rsid w:val="00134D2E"/>
    <w:rsid w:val="00146BFE"/>
    <w:rsid w:val="00156507"/>
    <w:rsid w:val="00172BA7"/>
    <w:rsid w:val="00175A6C"/>
    <w:rsid w:val="0017735D"/>
    <w:rsid w:val="001822CB"/>
    <w:rsid w:val="00182EBB"/>
    <w:rsid w:val="0019579C"/>
    <w:rsid w:val="001957BF"/>
    <w:rsid w:val="001967E1"/>
    <w:rsid w:val="001A13B5"/>
    <w:rsid w:val="001A5AF2"/>
    <w:rsid w:val="001B2C51"/>
    <w:rsid w:val="001B45D1"/>
    <w:rsid w:val="001C01FE"/>
    <w:rsid w:val="001F1D89"/>
    <w:rsid w:val="00207566"/>
    <w:rsid w:val="002208BB"/>
    <w:rsid w:val="00233E6F"/>
    <w:rsid w:val="00235407"/>
    <w:rsid w:val="00240702"/>
    <w:rsid w:val="00242182"/>
    <w:rsid w:val="0024305B"/>
    <w:rsid w:val="00244A52"/>
    <w:rsid w:val="00245F97"/>
    <w:rsid w:val="00252DEA"/>
    <w:rsid w:val="0025666C"/>
    <w:rsid w:val="002611D8"/>
    <w:rsid w:val="00261AE1"/>
    <w:rsid w:val="00262756"/>
    <w:rsid w:val="00262BA2"/>
    <w:rsid w:val="00277520"/>
    <w:rsid w:val="002874B9"/>
    <w:rsid w:val="00294448"/>
    <w:rsid w:val="002A7958"/>
    <w:rsid w:val="002B2E90"/>
    <w:rsid w:val="002B3DC1"/>
    <w:rsid w:val="002B7CB4"/>
    <w:rsid w:val="002D6592"/>
    <w:rsid w:val="002D6A5B"/>
    <w:rsid w:val="002E32A2"/>
    <w:rsid w:val="002E655B"/>
    <w:rsid w:val="002F28AA"/>
    <w:rsid w:val="002F3CC2"/>
    <w:rsid w:val="002F79F2"/>
    <w:rsid w:val="0031346D"/>
    <w:rsid w:val="0032349E"/>
    <w:rsid w:val="0032411E"/>
    <w:rsid w:val="00325142"/>
    <w:rsid w:val="00326BAE"/>
    <w:rsid w:val="00330BC9"/>
    <w:rsid w:val="00332319"/>
    <w:rsid w:val="00332DD3"/>
    <w:rsid w:val="00356E08"/>
    <w:rsid w:val="00360944"/>
    <w:rsid w:val="003611D1"/>
    <w:rsid w:val="00373F7B"/>
    <w:rsid w:val="00377103"/>
    <w:rsid w:val="0037788C"/>
    <w:rsid w:val="003813A5"/>
    <w:rsid w:val="003820EB"/>
    <w:rsid w:val="00383266"/>
    <w:rsid w:val="003846BA"/>
    <w:rsid w:val="00384B2E"/>
    <w:rsid w:val="00396E0E"/>
    <w:rsid w:val="003A0281"/>
    <w:rsid w:val="003A0620"/>
    <w:rsid w:val="003A320D"/>
    <w:rsid w:val="003B40A9"/>
    <w:rsid w:val="003C0FAF"/>
    <w:rsid w:val="003C79B0"/>
    <w:rsid w:val="003D4674"/>
    <w:rsid w:val="003D7C59"/>
    <w:rsid w:val="003E06C0"/>
    <w:rsid w:val="003E1F1B"/>
    <w:rsid w:val="003E4A61"/>
    <w:rsid w:val="003E6063"/>
    <w:rsid w:val="003E7A41"/>
    <w:rsid w:val="003F66B9"/>
    <w:rsid w:val="004103B6"/>
    <w:rsid w:val="00413566"/>
    <w:rsid w:val="00416CE4"/>
    <w:rsid w:val="004227D3"/>
    <w:rsid w:val="00432F02"/>
    <w:rsid w:val="00455C0A"/>
    <w:rsid w:val="004564D9"/>
    <w:rsid w:val="00465A1C"/>
    <w:rsid w:val="004814A3"/>
    <w:rsid w:val="004935D6"/>
    <w:rsid w:val="004A6AB0"/>
    <w:rsid w:val="004C6CAB"/>
    <w:rsid w:val="004D3BD6"/>
    <w:rsid w:val="004E1CB3"/>
    <w:rsid w:val="004E679C"/>
    <w:rsid w:val="004E79A6"/>
    <w:rsid w:val="005037F5"/>
    <w:rsid w:val="0050452A"/>
    <w:rsid w:val="00515B7B"/>
    <w:rsid w:val="00515F3A"/>
    <w:rsid w:val="00523486"/>
    <w:rsid w:val="0053356C"/>
    <w:rsid w:val="00541EA0"/>
    <w:rsid w:val="00547453"/>
    <w:rsid w:val="00555EBD"/>
    <w:rsid w:val="00566CC0"/>
    <w:rsid w:val="00571D84"/>
    <w:rsid w:val="005756DC"/>
    <w:rsid w:val="00581B32"/>
    <w:rsid w:val="00595733"/>
    <w:rsid w:val="005A2598"/>
    <w:rsid w:val="005A686C"/>
    <w:rsid w:val="005A7EFF"/>
    <w:rsid w:val="005B1BA1"/>
    <w:rsid w:val="005B5132"/>
    <w:rsid w:val="005C737D"/>
    <w:rsid w:val="005D413D"/>
    <w:rsid w:val="005D7A7A"/>
    <w:rsid w:val="005F0782"/>
    <w:rsid w:val="005F290A"/>
    <w:rsid w:val="005F489E"/>
    <w:rsid w:val="00610309"/>
    <w:rsid w:val="00610CCC"/>
    <w:rsid w:val="00624092"/>
    <w:rsid w:val="006278B5"/>
    <w:rsid w:val="00630212"/>
    <w:rsid w:val="00636651"/>
    <w:rsid w:val="006411A6"/>
    <w:rsid w:val="0064151B"/>
    <w:rsid w:val="00642456"/>
    <w:rsid w:val="00643161"/>
    <w:rsid w:val="00646904"/>
    <w:rsid w:val="00654206"/>
    <w:rsid w:val="006543B7"/>
    <w:rsid w:val="00656407"/>
    <w:rsid w:val="00656881"/>
    <w:rsid w:val="00672D2A"/>
    <w:rsid w:val="006754D2"/>
    <w:rsid w:val="00696563"/>
    <w:rsid w:val="006965AE"/>
    <w:rsid w:val="00697029"/>
    <w:rsid w:val="006A5E07"/>
    <w:rsid w:val="006A71E5"/>
    <w:rsid w:val="006B05A2"/>
    <w:rsid w:val="006B763E"/>
    <w:rsid w:val="006C1D9B"/>
    <w:rsid w:val="006C4EF9"/>
    <w:rsid w:val="006C6737"/>
    <w:rsid w:val="006D058C"/>
    <w:rsid w:val="006D3ABF"/>
    <w:rsid w:val="006D44A5"/>
    <w:rsid w:val="0072312E"/>
    <w:rsid w:val="00727CF1"/>
    <w:rsid w:val="007374FE"/>
    <w:rsid w:val="0073794F"/>
    <w:rsid w:val="007432CE"/>
    <w:rsid w:val="00746EC0"/>
    <w:rsid w:val="00753705"/>
    <w:rsid w:val="00754284"/>
    <w:rsid w:val="00765608"/>
    <w:rsid w:val="00783F9B"/>
    <w:rsid w:val="007A7308"/>
    <w:rsid w:val="007A7585"/>
    <w:rsid w:val="007B2529"/>
    <w:rsid w:val="007B3C0D"/>
    <w:rsid w:val="007B6F83"/>
    <w:rsid w:val="007C7979"/>
    <w:rsid w:val="007D4857"/>
    <w:rsid w:val="007E2567"/>
    <w:rsid w:val="007E6E99"/>
    <w:rsid w:val="007F5309"/>
    <w:rsid w:val="00803039"/>
    <w:rsid w:val="00806880"/>
    <w:rsid w:val="00810921"/>
    <w:rsid w:val="008116F1"/>
    <w:rsid w:val="0081375B"/>
    <w:rsid w:val="00821141"/>
    <w:rsid w:val="00842477"/>
    <w:rsid w:val="0084777B"/>
    <w:rsid w:val="0085158E"/>
    <w:rsid w:val="00851FD2"/>
    <w:rsid w:val="00863BE2"/>
    <w:rsid w:val="00863F11"/>
    <w:rsid w:val="00881CC6"/>
    <w:rsid w:val="00884FF4"/>
    <w:rsid w:val="00885298"/>
    <w:rsid w:val="00887E5B"/>
    <w:rsid w:val="00891943"/>
    <w:rsid w:val="00891F06"/>
    <w:rsid w:val="008945B7"/>
    <w:rsid w:val="008951F5"/>
    <w:rsid w:val="008A03B5"/>
    <w:rsid w:val="008A3639"/>
    <w:rsid w:val="008A53FC"/>
    <w:rsid w:val="008B5511"/>
    <w:rsid w:val="008D0120"/>
    <w:rsid w:val="008E57F1"/>
    <w:rsid w:val="008F3514"/>
    <w:rsid w:val="008F500F"/>
    <w:rsid w:val="008F6D46"/>
    <w:rsid w:val="008F7F12"/>
    <w:rsid w:val="009062A5"/>
    <w:rsid w:val="00916C0A"/>
    <w:rsid w:val="009207EF"/>
    <w:rsid w:val="00924583"/>
    <w:rsid w:val="00925FD4"/>
    <w:rsid w:val="0093012C"/>
    <w:rsid w:val="0093148E"/>
    <w:rsid w:val="00933B7D"/>
    <w:rsid w:val="00944776"/>
    <w:rsid w:val="00946D94"/>
    <w:rsid w:val="00964EAC"/>
    <w:rsid w:val="0096729C"/>
    <w:rsid w:val="00974F30"/>
    <w:rsid w:val="0098126D"/>
    <w:rsid w:val="009A1A87"/>
    <w:rsid w:val="009A21F8"/>
    <w:rsid w:val="009A2F87"/>
    <w:rsid w:val="009B1835"/>
    <w:rsid w:val="009B3B4A"/>
    <w:rsid w:val="009C1C2F"/>
    <w:rsid w:val="009F4255"/>
    <w:rsid w:val="009F6D6C"/>
    <w:rsid w:val="009F7543"/>
    <w:rsid w:val="00A032EB"/>
    <w:rsid w:val="00A07861"/>
    <w:rsid w:val="00A25A45"/>
    <w:rsid w:val="00A26968"/>
    <w:rsid w:val="00A43C47"/>
    <w:rsid w:val="00A4585D"/>
    <w:rsid w:val="00A50437"/>
    <w:rsid w:val="00A55BAA"/>
    <w:rsid w:val="00A60FBD"/>
    <w:rsid w:val="00A66EDD"/>
    <w:rsid w:val="00A70485"/>
    <w:rsid w:val="00A711B4"/>
    <w:rsid w:val="00A7235B"/>
    <w:rsid w:val="00A8025C"/>
    <w:rsid w:val="00A84A2E"/>
    <w:rsid w:val="00AA1A5F"/>
    <w:rsid w:val="00AA2D8F"/>
    <w:rsid w:val="00AC6872"/>
    <w:rsid w:val="00AD396F"/>
    <w:rsid w:val="00AD512E"/>
    <w:rsid w:val="00AD5B7A"/>
    <w:rsid w:val="00AF5DE0"/>
    <w:rsid w:val="00B005D2"/>
    <w:rsid w:val="00B017DA"/>
    <w:rsid w:val="00B12347"/>
    <w:rsid w:val="00B138FC"/>
    <w:rsid w:val="00B14B72"/>
    <w:rsid w:val="00B16ED2"/>
    <w:rsid w:val="00B21186"/>
    <w:rsid w:val="00B35823"/>
    <w:rsid w:val="00B511D3"/>
    <w:rsid w:val="00B5387C"/>
    <w:rsid w:val="00B57AE5"/>
    <w:rsid w:val="00B64820"/>
    <w:rsid w:val="00B81130"/>
    <w:rsid w:val="00B825E7"/>
    <w:rsid w:val="00B867E2"/>
    <w:rsid w:val="00B86DD8"/>
    <w:rsid w:val="00B91354"/>
    <w:rsid w:val="00B93BC3"/>
    <w:rsid w:val="00B95518"/>
    <w:rsid w:val="00BA17A4"/>
    <w:rsid w:val="00BA3F9C"/>
    <w:rsid w:val="00BB414A"/>
    <w:rsid w:val="00BC23E0"/>
    <w:rsid w:val="00BC28E4"/>
    <w:rsid w:val="00BC30A5"/>
    <w:rsid w:val="00BD34E2"/>
    <w:rsid w:val="00BF1385"/>
    <w:rsid w:val="00C13BB3"/>
    <w:rsid w:val="00C313F6"/>
    <w:rsid w:val="00C33D1A"/>
    <w:rsid w:val="00C37019"/>
    <w:rsid w:val="00C64196"/>
    <w:rsid w:val="00C65669"/>
    <w:rsid w:val="00C74D90"/>
    <w:rsid w:val="00C77164"/>
    <w:rsid w:val="00C8255A"/>
    <w:rsid w:val="00C8469F"/>
    <w:rsid w:val="00C95E7C"/>
    <w:rsid w:val="00CA197C"/>
    <w:rsid w:val="00CB0AC2"/>
    <w:rsid w:val="00CB57D9"/>
    <w:rsid w:val="00CB7347"/>
    <w:rsid w:val="00CB75E5"/>
    <w:rsid w:val="00CC66C0"/>
    <w:rsid w:val="00CF0BF4"/>
    <w:rsid w:val="00D03CF4"/>
    <w:rsid w:val="00D1798D"/>
    <w:rsid w:val="00D26AB7"/>
    <w:rsid w:val="00D502EF"/>
    <w:rsid w:val="00D50914"/>
    <w:rsid w:val="00D50AE3"/>
    <w:rsid w:val="00D51EF7"/>
    <w:rsid w:val="00D53413"/>
    <w:rsid w:val="00D56FBE"/>
    <w:rsid w:val="00D60426"/>
    <w:rsid w:val="00D60A2A"/>
    <w:rsid w:val="00D67561"/>
    <w:rsid w:val="00D70500"/>
    <w:rsid w:val="00D71F7C"/>
    <w:rsid w:val="00D7463D"/>
    <w:rsid w:val="00D833ED"/>
    <w:rsid w:val="00D84581"/>
    <w:rsid w:val="00D92D66"/>
    <w:rsid w:val="00DA2842"/>
    <w:rsid w:val="00DB3161"/>
    <w:rsid w:val="00DC2776"/>
    <w:rsid w:val="00DC3843"/>
    <w:rsid w:val="00DD0F6E"/>
    <w:rsid w:val="00DD42DC"/>
    <w:rsid w:val="00DE7472"/>
    <w:rsid w:val="00DF5E66"/>
    <w:rsid w:val="00E1009C"/>
    <w:rsid w:val="00E160DD"/>
    <w:rsid w:val="00E36902"/>
    <w:rsid w:val="00E36E3B"/>
    <w:rsid w:val="00E51DC1"/>
    <w:rsid w:val="00E53370"/>
    <w:rsid w:val="00E67BFC"/>
    <w:rsid w:val="00E75E8A"/>
    <w:rsid w:val="00E8171B"/>
    <w:rsid w:val="00E9043F"/>
    <w:rsid w:val="00E9683E"/>
    <w:rsid w:val="00EA3D57"/>
    <w:rsid w:val="00EA67FD"/>
    <w:rsid w:val="00EB0459"/>
    <w:rsid w:val="00EB29C9"/>
    <w:rsid w:val="00EB5B29"/>
    <w:rsid w:val="00EB7700"/>
    <w:rsid w:val="00ED6211"/>
    <w:rsid w:val="00EE706E"/>
    <w:rsid w:val="00EF37C4"/>
    <w:rsid w:val="00F02932"/>
    <w:rsid w:val="00F049DC"/>
    <w:rsid w:val="00F15096"/>
    <w:rsid w:val="00F17DBD"/>
    <w:rsid w:val="00F2413D"/>
    <w:rsid w:val="00F2472B"/>
    <w:rsid w:val="00F43DCE"/>
    <w:rsid w:val="00F45906"/>
    <w:rsid w:val="00F56247"/>
    <w:rsid w:val="00F63F2F"/>
    <w:rsid w:val="00F658E4"/>
    <w:rsid w:val="00F6754B"/>
    <w:rsid w:val="00F709A9"/>
    <w:rsid w:val="00F70E12"/>
    <w:rsid w:val="00F77FF2"/>
    <w:rsid w:val="00F8254A"/>
    <w:rsid w:val="00F92CF0"/>
    <w:rsid w:val="00F93DD3"/>
    <w:rsid w:val="00F97CF0"/>
    <w:rsid w:val="00FB5A1A"/>
    <w:rsid w:val="00FC1712"/>
    <w:rsid w:val="00FC309F"/>
    <w:rsid w:val="00FD2561"/>
    <w:rsid w:val="00FE431B"/>
    <w:rsid w:val="00FF2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BA613"/>
  <w15:chartTrackingRefBased/>
  <w15:docId w15:val="{78C03457-8F66-4233-A30F-C00554C9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A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A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A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A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A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A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A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A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AF1"/>
    <w:rPr>
      <w:rFonts w:eastAsiaTheme="majorEastAsia" w:cstheme="majorBidi"/>
      <w:color w:val="272727" w:themeColor="text1" w:themeTint="D8"/>
    </w:rPr>
  </w:style>
  <w:style w:type="paragraph" w:styleId="Title">
    <w:name w:val="Title"/>
    <w:basedOn w:val="Normal"/>
    <w:next w:val="Normal"/>
    <w:link w:val="TitleChar"/>
    <w:uiPriority w:val="10"/>
    <w:qFormat/>
    <w:rsid w:val="00002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AF1"/>
    <w:pPr>
      <w:spacing w:before="160"/>
      <w:jc w:val="center"/>
    </w:pPr>
    <w:rPr>
      <w:i/>
      <w:iCs/>
      <w:color w:val="404040" w:themeColor="text1" w:themeTint="BF"/>
    </w:rPr>
  </w:style>
  <w:style w:type="character" w:customStyle="1" w:styleId="QuoteChar">
    <w:name w:val="Quote Char"/>
    <w:basedOn w:val="DefaultParagraphFont"/>
    <w:link w:val="Quote"/>
    <w:uiPriority w:val="29"/>
    <w:rsid w:val="00002AF1"/>
    <w:rPr>
      <w:i/>
      <w:iCs/>
      <w:color w:val="404040" w:themeColor="text1" w:themeTint="BF"/>
    </w:rPr>
  </w:style>
  <w:style w:type="paragraph" w:styleId="ListParagraph">
    <w:name w:val="List Paragraph"/>
    <w:basedOn w:val="Normal"/>
    <w:uiPriority w:val="34"/>
    <w:qFormat/>
    <w:rsid w:val="00002AF1"/>
    <w:pPr>
      <w:ind w:left="720"/>
      <w:contextualSpacing/>
    </w:pPr>
  </w:style>
  <w:style w:type="character" w:styleId="IntenseEmphasis">
    <w:name w:val="Intense Emphasis"/>
    <w:basedOn w:val="DefaultParagraphFont"/>
    <w:uiPriority w:val="21"/>
    <w:qFormat/>
    <w:rsid w:val="00002AF1"/>
    <w:rPr>
      <w:i/>
      <w:iCs/>
      <w:color w:val="0F4761" w:themeColor="accent1" w:themeShade="BF"/>
    </w:rPr>
  </w:style>
  <w:style w:type="paragraph" w:styleId="IntenseQuote">
    <w:name w:val="Intense Quote"/>
    <w:basedOn w:val="Normal"/>
    <w:next w:val="Normal"/>
    <w:link w:val="IntenseQuoteChar"/>
    <w:uiPriority w:val="30"/>
    <w:qFormat/>
    <w:rsid w:val="00002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AF1"/>
    <w:rPr>
      <w:i/>
      <w:iCs/>
      <w:color w:val="0F4761" w:themeColor="accent1" w:themeShade="BF"/>
    </w:rPr>
  </w:style>
  <w:style w:type="character" w:styleId="IntenseReference">
    <w:name w:val="Intense Reference"/>
    <w:basedOn w:val="DefaultParagraphFont"/>
    <w:uiPriority w:val="32"/>
    <w:qFormat/>
    <w:rsid w:val="00002AF1"/>
    <w:rPr>
      <w:b/>
      <w:bCs/>
      <w:smallCaps/>
      <w:color w:val="0F4761" w:themeColor="accent1" w:themeShade="BF"/>
      <w:spacing w:val="5"/>
    </w:rPr>
  </w:style>
  <w:style w:type="paragraph" w:styleId="Header">
    <w:name w:val="header"/>
    <w:basedOn w:val="Normal"/>
    <w:link w:val="HeaderChar"/>
    <w:uiPriority w:val="99"/>
    <w:unhideWhenUsed/>
    <w:rsid w:val="00002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AF1"/>
  </w:style>
  <w:style w:type="paragraph" w:styleId="Footer">
    <w:name w:val="footer"/>
    <w:basedOn w:val="Normal"/>
    <w:link w:val="FooterChar"/>
    <w:uiPriority w:val="99"/>
    <w:unhideWhenUsed/>
    <w:rsid w:val="00002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AF1"/>
  </w:style>
  <w:style w:type="character" w:styleId="Hyperlink">
    <w:name w:val="Hyperlink"/>
    <w:basedOn w:val="DefaultParagraphFont"/>
    <w:uiPriority w:val="99"/>
    <w:unhideWhenUsed/>
    <w:rsid w:val="00465A1C"/>
    <w:rPr>
      <w:color w:val="467886" w:themeColor="hyperlink"/>
      <w:u w:val="single"/>
    </w:rPr>
  </w:style>
  <w:style w:type="character" w:styleId="UnresolvedMention">
    <w:name w:val="Unresolved Mention"/>
    <w:basedOn w:val="DefaultParagraphFont"/>
    <w:uiPriority w:val="99"/>
    <w:semiHidden/>
    <w:unhideWhenUsed/>
    <w:rsid w:val="00465A1C"/>
    <w:rPr>
      <w:color w:val="605E5C"/>
      <w:shd w:val="clear" w:color="auto" w:fill="E1DFDD"/>
    </w:rPr>
  </w:style>
  <w:style w:type="paragraph" w:styleId="Revision">
    <w:name w:val="Revision"/>
    <w:hidden/>
    <w:uiPriority w:val="99"/>
    <w:semiHidden/>
    <w:rsid w:val="00FB5A1A"/>
    <w:pPr>
      <w:spacing w:after="0" w:line="240" w:lineRule="auto"/>
    </w:pPr>
  </w:style>
  <w:style w:type="paragraph" w:customStyle="1" w:styleId="MediaRelease">
    <w:name w:val="Media Release"/>
    <w:basedOn w:val="Normal"/>
    <w:qFormat/>
    <w:rsid w:val="007F5309"/>
    <w:rPr>
      <w:sz w:val="24"/>
      <w:szCs w:val="24"/>
    </w:rPr>
  </w:style>
  <w:style w:type="character" w:styleId="FollowedHyperlink">
    <w:name w:val="FollowedHyperlink"/>
    <w:basedOn w:val="DefaultParagraphFont"/>
    <w:uiPriority w:val="99"/>
    <w:semiHidden/>
    <w:unhideWhenUsed/>
    <w:rsid w:val="001957B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uernseyretailgroup.gg/wp-content/uploads/2026/07/Guernsey-Retail-Group-Response-to-PR-Proposal-for-Tax-Reform-June-202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1874</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Woodhams</dc:creator>
  <cp:keywords/>
  <dc:description/>
  <cp:lastModifiedBy>Korinne Le Page</cp:lastModifiedBy>
  <cp:revision>2</cp:revision>
  <dcterms:created xsi:type="dcterms:W3CDTF">2026-09-28T14:29:00Z</dcterms:created>
  <dcterms:modified xsi:type="dcterms:W3CDTF">2026-09-28T14:29:00Z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db8f71-287c-4330-9f31-02976469423c_Enabled">
    <vt:lpwstr>true</vt:lpwstr>
  </property>
  <property fmtid="{D5CDD505-2E9C-101B-9397-08002B2CF9AE}" pid="3" name="MSIP_Label_c6db8f71-287c-4330-9f31-02976469423c_SetDate">
    <vt:lpwstr>2026-04-12T20:29:10Z</vt:lpwstr>
  </property>
  <property fmtid="{D5CDD505-2E9C-101B-9397-08002B2CF9AE}" pid="4" name="MSIP_Label_c6db8f71-287c-4330-9f31-02976469423c_Method">
    <vt:lpwstr>Standard</vt:lpwstr>
  </property>
  <property fmtid="{D5CDD505-2E9C-101B-9397-08002B2CF9AE}" pid="5" name="MSIP_Label_c6db8f71-287c-4330-9f31-02976469423c_Name">
    <vt:lpwstr>c6db8f71-287c-4330-9f31-02976469423c</vt:lpwstr>
  </property>
  <property fmtid="{D5CDD505-2E9C-101B-9397-08002B2CF9AE}" pid="6" name="MSIP_Label_c6db8f71-287c-4330-9f31-02976469423c_SiteId">
    <vt:lpwstr>2bede252-cf7b-4ef3-889c-abe547987274</vt:lpwstr>
  </property>
  <property fmtid="{D5CDD505-2E9C-101B-9397-08002B2CF9AE}" pid="7" name="MSIP_Label_c6db8f71-287c-4330-9f31-02976469423c_ActionId">
    <vt:lpwstr>4ded9209-cedd-47f2-b0e7-0eea0593070c</vt:lpwstr>
  </property>
  <property fmtid="{D5CDD505-2E9C-101B-9397-08002B2CF9AE}" pid="8" name="MSIP_Label_c6db8f71-287c-4330-9f31-02976469423c_ContentBits">
    <vt:lpwstr>0</vt:lpwstr>
  </property>
  <property fmtid="{D5CDD505-2E9C-101B-9397-08002B2CF9AE}" pid="9" name="MSIP_Label_c6db8f71-287c-4330-9f31-02976469423c_Tag">
    <vt:lpwstr>10, 3, 0, 1</vt:lpwstr>
  </property>
</Properties>
</file>