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6160" w14:textId="7A832A9B" w:rsidR="00A33A9F" w:rsidRPr="004B01F3" w:rsidRDefault="000D1B15" w:rsidP="000D1B15">
      <w:pPr>
        <w:pStyle w:val="paragraph"/>
        <w:shd w:val="clear" w:color="auto" w:fill="FFFFFF" w:themeFill="background1"/>
        <w:ind w:left="-340" w:right="-340" w:firstLine="340"/>
        <w:rPr>
          <w:rStyle w:val="normaltextrun"/>
          <w:rFonts w:ascii="Aptos" w:hAnsi="Aptos"/>
        </w:rPr>
      </w:pPr>
      <w:r w:rsidRPr="004B01F3">
        <w:rPr>
          <w:rFonts w:ascii="Aptos" w:eastAsia="Calibri" w:hAnsi="Aptos"/>
          <w:b/>
          <w:bCs/>
        </w:rPr>
        <w:t>BY EMAIL</w:t>
      </w:r>
      <w:r w:rsidR="00367502">
        <w:rPr>
          <w:rFonts w:ascii="Aptos" w:eastAsia="Calibri" w:hAnsi="Aptos"/>
          <w:b/>
          <w:bCs/>
        </w:rPr>
        <w:t xml:space="preserve"> </w:t>
      </w:r>
      <w:r w:rsidR="00D4218D">
        <w:rPr>
          <w:rFonts w:ascii="Aptos" w:eastAsia="Calibri" w:hAnsi="Aptos"/>
          <w:b/>
          <w:bCs/>
        </w:rPr>
        <w:t>28</w:t>
      </w:r>
      <w:r w:rsidR="00367502">
        <w:rPr>
          <w:rFonts w:ascii="Aptos" w:eastAsia="Calibri" w:hAnsi="Aptos"/>
          <w:b/>
          <w:bCs/>
        </w:rPr>
        <w:t xml:space="preserve"> </w:t>
      </w:r>
      <w:r w:rsidR="003F7731">
        <w:rPr>
          <w:rFonts w:ascii="Aptos" w:eastAsia="Calibri" w:hAnsi="Aptos"/>
          <w:b/>
          <w:bCs/>
        </w:rPr>
        <w:t xml:space="preserve">May </w:t>
      </w:r>
      <w:r w:rsidR="00367502">
        <w:rPr>
          <w:rFonts w:ascii="Aptos" w:eastAsia="Calibri" w:hAnsi="Aptos"/>
          <w:b/>
          <w:bCs/>
        </w:rPr>
        <w:t xml:space="preserve"> 202</w:t>
      </w:r>
      <w:r w:rsidR="003F7731">
        <w:rPr>
          <w:rFonts w:ascii="Aptos" w:eastAsia="Calibri" w:hAnsi="Aptos"/>
          <w:b/>
          <w:bCs/>
        </w:rPr>
        <w:t>6</w:t>
      </w:r>
      <w:r w:rsidRPr="004B01F3">
        <w:rPr>
          <w:rFonts w:ascii="Aptos" w:eastAsia="Calibri" w:hAnsi="Aptos"/>
          <w:b/>
          <w:bCs/>
        </w:rPr>
        <w:t>:</w:t>
      </w:r>
    </w:p>
    <w:p w14:paraId="738FE900" w14:textId="77777777" w:rsidR="000D1B15" w:rsidRPr="004B01F3" w:rsidRDefault="000D1B15" w:rsidP="77D96E7E">
      <w:pPr>
        <w:pStyle w:val="paragraph"/>
        <w:shd w:val="clear" w:color="auto" w:fill="FFFFFF" w:themeFill="background1"/>
        <w:ind w:left="-340" w:right="-340"/>
        <w:rPr>
          <w:rStyle w:val="normaltextrun"/>
          <w:rFonts w:ascii="Aptos" w:hAnsi="Aptos"/>
        </w:rPr>
      </w:pPr>
    </w:p>
    <w:p w14:paraId="340AE96B" w14:textId="49662D57" w:rsidR="7518C57B" w:rsidRPr="004B01F3" w:rsidRDefault="7518C57B" w:rsidP="77D96E7E">
      <w:pPr>
        <w:rPr>
          <w:rFonts w:ascii="Aptos" w:eastAsia="Calibri" w:hAnsi="Aptos" w:cs="Calibri"/>
        </w:rPr>
      </w:pPr>
      <w:r w:rsidRPr="004B01F3">
        <w:rPr>
          <w:rFonts w:ascii="Aptos" w:eastAsia="Calibri" w:hAnsi="Aptos" w:cs="Calibri"/>
        </w:rPr>
        <w:t xml:space="preserve">Deputy </w:t>
      </w:r>
      <w:r w:rsidR="003F7731">
        <w:rPr>
          <w:rFonts w:ascii="Aptos" w:eastAsia="Calibri" w:hAnsi="Aptos" w:cs="Calibri"/>
        </w:rPr>
        <w:t>Tina Bury</w:t>
      </w:r>
      <w:r w:rsidR="000D1B15" w:rsidRPr="004B01F3">
        <w:rPr>
          <w:rFonts w:ascii="Aptos" w:eastAsia="Calibri" w:hAnsi="Aptos" w:cs="Calibri"/>
        </w:rPr>
        <w:t xml:space="preserve">, </w:t>
      </w:r>
      <w:r w:rsidRPr="004B01F3">
        <w:rPr>
          <w:rFonts w:ascii="Aptos" w:eastAsia="Calibri" w:hAnsi="Aptos" w:cs="Calibri"/>
        </w:rPr>
        <w:t>President Committee for Employment and Social Security</w:t>
      </w:r>
    </w:p>
    <w:p w14:paraId="7483F140" w14:textId="1F6B47A3" w:rsidR="00174726" w:rsidRPr="003F7731" w:rsidRDefault="7518C57B" w:rsidP="003F7731">
      <w:pPr>
        <w:rPr>
          <w:rFonts w:ascii="Aptos" w:eastAsia="Calibri" w:hAnsi="Aptos" w:cs="Calibri"/>
          <w:b/>
          <w:bCs/>
        </w:rPr>
      </w:pPr>
      <w:r w:rsidRPr="004B01F3">
        <w:rPr>
          <w:rFonts w:ascii="Aptos" w:eastAsia="Calibri" w:hAnsi="Aptos" w:cs="Calibri"/>
          <w:b/>
          <w:bCs/>
        </w:rPr>
        <w:t xml:space="preserve">Subject: </w:t>
      </w:r>
      <w:r w:rsidR="005302FF" w:rsidRPr="004B01F3">
        <w:rPr>
          <w:rFonts w:ascii="Aptos" w:eastAsia="Calibri" w:hAnsi="Aptos" w:cs="Calibri"/>
          <w:b/>
          <w:bCs/>
        </w:rPr>
        <w:t xml:space="preserve">Consultation - </w:t>
      </w:r>
      <w:r w:rsidRPr="004B01F3">
        <w:rPr>
          <w:rFonts w:ascii="Aptos" w:eastAsia="Calibri" w:hAnsi="Aptos" w:cs="Calibri"/>
          <w:b/>
          <w:bCs/>
        </w:rPr>
        <w:t xml:space="preserve">Minimum Wage and </w:t>
      </w:r>
      <w:r w:rsidR="005302FF" w:rsidRPr="004B01F3">
        <w:rPr>
          <w:rFonts w:ascii="Aptos" w:eastAsia="Calibri" w:hAnsi="Aptos" w:cs="Calibri"/>
          <w:b/>
          <w:bCs/>
        </w:rPr>
        <w:t>A</w:t>
      </w:r>
      <w:r w:rsidRPr="004B01F3">
        <w:rPr>
          <w:rFonts w:ascii="Aptos" w:eastAsia="Calibri" w:hAnsi="Aptos" w:cs="Calibri"/>
          <w:b/>
          <w:bCs/>
        </w:rPr>
        <w:t xml:space="preserve">ssociated </w:t>
      </w:r>
      <w:r w:rsidR="005302FF" w:rsidRPr="004B01F3">
        <w:rPr>
          <w:rFonts w:ascii="Aptos" w:eastAsia="Calibri" w:hAnsi="Aptos" w:cs="Calibri"/>
          <w:b/>
          <w:bCs/>
        </w:rPr>
        <w:t>R</w:t>
      </w:r>
      <w:r w:rsidRPr="004B01F3">
        <w:rPr>
          <w:rFonts w:ascii="Aptos" w:eastAsia="Calibri" w:hAnsi="Aptos" w:cs="Calibri"/>
          <w:b/>
          <w:bCs/>
        </w:rPr>
        <w:t>ates for implementation on 1 October 202</w:t>
      </w:r>
      <w:r w:rsidR="003F7731">
        <w:rPr>
          <w:rFonts w:ascii="Aptos" w:eastAsia="Calibri" w:hAnsi="Aptos" w:cs="Calibri"/>
          <w:b/>
          <w:bCs/>
        </w:rPr>
        <w:t>6</w:t>
      </w:r>
    </w:p>
    <w:p w14:paraId="55C57BF9" w14:textId="77777777" w:rsidR="003F7731" w:rsidRDefault="63980DAE" w:rsidP="77D96E7E">
      <w:pPr>
        <w:spacing w:before="240" w:after="240"/>
        <w:rPr>
          <w:rFonts w:ascii="Aptos" w:hAnsi="Aptos"/>
        </w:rPr>
      </w:pPr>
      <w:r w:rsidRPr="004B01F3">
        <w:rPr>
          <w:rFonts w:ascii="Aptos" w:hAnsi="Aptos"/>
        </w:rPr>
        <w:t xml:space="preserve">Thank you for the opportunity to provide feedback on the proposed changes to minimum wage rates in Guernsey. </w:t>
      </w:r>
    </w:p>
    <w:p w14:paraId="07187449" w14:textId="189512C2" w:rsidR="00CD7997" w:rsidRDefault="63980DAE" w:rsidP="77D96E7E">
      <w:pPr>
        <w:spacing w:before="240" w:after="240"/>
        <w:rPr>
          <w:rFonts w:ascii="Aptos" w:hAnsi="Aptos"/>
        </w:rPr>
      </w:pPr>
      <w:r w:rsidRPr="004B01F3">
        <w:rPr>
          <w:rFonts w:ascii="Aptos" w:hAnsi="Aptos"/>
        </w:rPr>
        <w:t xml:space="preserve">The retail sector </w:t>
      </w:r>
      <w:r w:rsidR="003F7731">
        <w:rPr>
          <w:rFonts w:ascii="Aptos" w:hAnsi="Aptos"/>
        </w:rPr>
        <w:t>maintains the</w:t>
      </w:r>
      <w:r w:rsidRPr="004B01F3">
        <w:rPr>
          <w:rFonts w:ascii="Aptos" w:hAnsi="Aptos"/>
        </w:rPr>
        <w:t xml:space="preserve"> significant concerns regarding</w:t>
      </w:r>
      <w:r w:rsidR="001845EA" w:rsidRPr="004B01F3">
        <w:rPr>
          <w:rFonts w:ascii="Aptos" w:hAnsi="Aptos"/>
        </w:rPr>
        <w:t xml:space="preserve"> </w:t>
      </w:r>
      <w:r w:rsidR="008566E9">
        <w:rPr>
          <w:rFonts w:ascii="Aptos" w:hAnsi="Aptos"/>
        </w:rPr>
        <w:t>a lack of available data connected with setting the minimum wage</w:t>
      </w:r>
      <w:r w:rsidR="00CD7997">
        <w:rPr>
          <w:rFonts w:ascii="Aptos" w:hAnsi="Aptos"/>
        </w:rPr>
        <w:t xml:space="preserve"> that it expressed last year</w:t>
      </w:r>
      <w:r w:rsidR="008566E9">
        <w:rPr>
          <w:rFonts w:ascii="Aptos" w:hAnsi="Aptos"/>
        </w:rPr>
        <w:t xml:space="preserve">. The </w:t>
      </w:r>
      <w:r w:rsidRPr="004B01F3">
        <w:rPr>
          <w:rFonts w:ascii="Aptos" w:hAnsi="Aptos"/>
        </w:rPr>
        <w:t>inflation</w:t>
      </w:r>
      <w:r w:rsidR="008566E9">
        <w:rPr>
          <w:rFonts w:ascii="Aptos" w:hAnsi="Aptos"/>
        </w:rPr>
        <w:t>-linked</w:t>
      </w:r>
      <w:r w:rsidRPr="004B01F3">
        <w:rPr>
          <w:rFonts w:ascii="Aptos" w:hAnsi="Aptos"/>
        </w:rPr>
        <w:t xml:space="preserve"> increase </w:t>
      </w:r>
      <w:r w:rsidR="008566E9">
        <w:rPr>
          <w:rFonts w:ascii="Aptos" w:hAnsi="Aptos"/>
        </w:rPr>
        <w:t>proposed is itself also a concern</w:t>
      </w:r>
      <w:r w:rsidR="00E90B64">
        <w:rPr>
          <w:rFonts w:ascii="Aptos" w:hAnsi="Aptos"/>
        </w:rPr>
        <w:t xml:space="preserve"> as the proposed increase </w:t>
      </w:r>
      <w:r w:rsidR="008D47A4">
        <w:rPr>
          <w:rFonts w:ascii="Aptos" w:hAnsi="Aptos"/>
        </w:rPr>
        <w:t xml:space="preserve">may </w:t>
      </w:r>
      <w:r w:rsidR="00E90B64">
        <w:rPr>
          <w:rFonts w:ascii="Aptos" w:hAnsi="Aptos"/>
        </w:rPr>
        <w:t>be higher than it should be</w:t>
      </w:r>
      <w:r w:rsidR="008D47A4">
        <w:rPr>
          <w:rFonts w:ascii="Aptos" w:hAnsi="Aptos"/>
        </w:rPr>
        <w:t xml:space="preserve"> as the </w:t>
      </w:r>
      <w:proofErr w:type="gramStart"/>
      <w:r w:rsidR="008D47A4">
        <w:rPr>
          <w:rFonts w:ascii="Aptos" w:hAnsi="Aptos"/>
        </w:rPr>
        <w:t>aforementioned data</w:t>
      </w:r>
      <w:proofErr w:type="gramEnd"/>
      <w:r w:rsidR="008D47A4">
        <w:rPr>
          <w:rFonts w:ascii="Aptos" w:hAnsi="Aptos"/>
        </w:rPr>
        <w:t xml:space="preserve"> is not available. </w:t>
      </w:r>
    </w:p>
    <w:p w14:paraId="789CEE1B" w14:textId="1731F5E2" w:rsidR="006173C4" w:rsidRPr="004B01F3" w:rsidRDefault="002274BA" w:rsidP="00F40F74">
      <w:pPr>
        <w:spacing w:before="240" w:after="240"/>
        <w:rPr>
          <w:rFonts w:ascii="Aptos" w:hAnsi="Aptos"/>
        </w:rPr>
      </w:pPr>
      <w:r>
        <w:rPr>
          <w:rFonts w:ascii="Aptos" w:hAnsi="Aptos"/>
        </w:rPr>
        <w:t xml:space="preserve">We would like to reiterate our past comments </w:t>
      </w:r>
      <w:r w:rsidR="00F40F74" w:rsidRPr="004B01F3">
        <w:rPr>
          <w:rFonts w:ascii="Aptos" w:hAnsi="Aptos"/>
        </w:rPr>
        <w:t xml:space="preserve">that many retail employees are already paid above the minimum wage, as employers strive to remain competitive in attracting and retaining staff. Retailers are keen to pay as much as possible to secure a motivated and stable workforce. However, each time the minimum wage increases, there is an expectation among lower-paid employees for a corresponding rise in their wages to maintain their relative position above the minimum threshold. This creates additional cost pressures on businesses, further exacerbating the challenges faced by the </w:t>
      </w:r>
      <w:r w:rsidR="00920E31">
        <w:rPr>
          <w:rFonts w:ascii="Aptos" w:hAnsi="Aptos"/>
        </w:rPr>
        <w:t xml:space="preserve">retail </w:t>
      </w:r>
      <w:r w:rsidR="00F40F74" w:rsidRPr="004B01F3">
        <w:rPr>
          <w:rFonts w:ascii="Aptos" w:hAnsi="Aptos"/>
        </w:rPr>
        <w:t>sector.</w:t>
      </w:r>
    </w:p>
    <w:p w14:paraId="67D8FAE4" w14:textId="4EE77893" w:rsidR="00DF214E" w:rsidRDefault="00877148" w:rsidP="006F0522">
      <w:pPr>
        <w:pStyle w:val="Heading3"/>
        <w:spacing w:before="281" w:after="281"/>
        <w:rPr>
          <w:rFonts w:ascii="Aptos" w:hAnsi="Aptos"/>
        </w:rPr>
      </w:pPr>
      <w:r>
        <w:rPr>
          <w:rFonts w:ascii="Aptos" w:hAnsi="Aptos"/>
          <w:b/>
          <w:bCs/>
          <w:color w:val="auto"/>
          <w:sz w:val="22"/>
          <w:szCs w:val="22"/>
        </w:rPr>
        <w:t>Minimum wage objective to be 60% of med</w:t>
      </w:r>
      <w:r w:rsidRPr="004B01F3">
        <w:rPr>
          <w:rFonts w:ascii="Aptos" w:hAnsi="Aptos"/>
          <w:b/>
          <w:bCs/>
          <w:color w:val="auto"/>
          <w:sz w:val="22"/>
          <w:szCs w:val="22"/>
        </w:rPr>
        <w:t xml:space="preserve">ian </w:t>
      </w:r>
      <w:r>
        <w:rPr>
          <w:rFonts w:ascii="Aptos" w:hAnsi="Aptos"/>
          <w:b/>
          <w:bCs/>
          <w:color w:val="auto"/>
          <w:sz w:val="22"/>
          <w:szCs w:val="22"/>
        </w:rPr>
        <w:t>e</w:t>
      </w:r>
      <w:r w:rsidRPr="004B01F3">
        <w:rPr>
          <w:rFonts w:ascii="Aptos" w:hAnsi="Aptos"/>
          <w:b/>
          <w:bCs/>
          <w:color w:val="auto"/>
          <w:sz w:val="22"/>
          <w:szCs w:val="22"/>
        </w:rPr>
        <w:t>arnings</w:t>
      </w:r>
      <w:r w:rsidR="004647F9">
        <w:rPr>
          <w:rFonts w:ascii="Aptos" w:hAnsi="Aptos"/>
        </w:rPr>
        <w:t xml:space="preserve"> </w:t>
      </w:r>
    </w:p>
    <w:p w14:paraId="0563BDD3" w14:textId="7D3B61F1" w:rsidR="00640376" w:rsidRPr="004B01F3" w:rsidRDefault="00BE3509" w:rsidP="00640376">
      <w:pPr>
        <w:spacing w:before="240" w:after="240"/>
        <w:rPr>
          <w:rFonts w:ascii="Aptos" w:hAnsi="Aptos"/>
        </w:rPr>
      </w:pPr>
      <w:r>
        <w:rPr>
          <w:rFonts w:ascii="Aptos" w:hAnsi="Aptos"/>
        </w:rPr>
        <w:t xml:space="preserve">As last year, the GRG would like confirmation on what </w:t>
      </w:r>
      <w:r w:rsidR="00AD6195">
        <w:rPr>
          <w:rFonts w:ascii="Aptos" w:hAnsi="Aptos"/>
        </w:rPr>
        <w:t>data</w:t>
      </w:r>
      <w:r w:rsidR="00EE4041">
        <w:rPr>
          <w:rFonts w:ascii="Aptos" w:hAnsi="Aptos"/>
        </w:rPr>
        <w:t xml:space="preserve"> </w:t>
      </w:r>
      <w:r w:rsidR="00F81120">
        <w:rPr>
          <w:rFonts w:ascii="Aptos" w:hAnsi="Aptos"/>
        </w:rPr>
        <w:t xml:space="preserve">is </w:t>
      </w:r>
      <w:r w:rsidR="00EE4041">
        <w:rPr>
          <w:rFonts w:ascii="Aptos" w:hAnsi="Aptos"/>
        </w:rPr>
        <w:t>use</w:t>
      </w:r>
      <w:r w:rsidR="00F81120">
        <w:rPr>
          <w:rFonts w:ascii="Aptos" w:hAnsi="Aptos"/>
        </w:rPr>
        <w:t xml:space="preserve">d to establish the island’s </w:t>
      </w:r>
      <w:r w:rsidR="00EE4041">
        <w:rPr>
          <w:rFonts w:ascii="Aptos" w:hAnsi="Aptos"/>
        </w:rPr>
        <w:t>median earnings</w:t>
      </w:r>
      <w:r w:rsidR="00D712A8">
        <w:rPr>
          <w:rFonts w:ascii="Aptos" w:hAnsi="Aptos"/>
        </w:rPr>
        <w:t xml:space="preserve">. The fact this data is not available is concerning – and </w:t>
      </w:r>
      <w:r w:rsidR="001D18C1">
        <w:rPr>
          <w:rFonts w:ascii="Aptos" w:hAnsi="Aptos"/>
        </w:rPr>
        <w:t>making policy decisions without having core data available is not something the GRG can support.</w:t>
      </w:r>
    </w:p>
    <w:p w14:paraId="43719E44" w14:textId="26E3184E" w:rsidR="00C005A8" w:rsidRPr="004B01F3" w:rsidRDefault="00640376" w:rsidP="00877148">
      <w:pPr>
        <w:spacing w:before="240" w:after="240"/>
        <w:rPr>
          <w:rFonts w:ascii="Aptos" w:hAnsi="Aptos"/>
        </w:rPr>
      </w:pPr>
      <w:r>
        <w:rPr>
          <w:rFonts w:ascii="Aptos" w:hAnsi="Aptos"/>
        </w:rPr>
        <w:t>We believe the States’ objective for minimum wage to be 60% of median earnings has been met and the</w:t>
      </w:r>
      <w:r w:rsidR="0043129C">
        <w:rPr>
          <w:rFonts w:ascii="Aptos" w:hAnsi="Aptos"/>
        </w:rPr>
        <w:t>refore s</w:t>
      </w:r>
      <w:r w:rsidR="001D18C1">
        <w:rPr>
          <w:rFonts w:ascii="Aptos" w:hAnsi="Aptos"/>
        </w:rPr>
        <w:t xml:space="preserve">etting the minimum wage at </w:t>
      </w:r>
      <w:r w:rsidR="008566E9">
        <w:rPr>
          <w:rFonts w:ascii="Aptos" w:hAnsi="Aptos"/>
        </w:rPr>
        <w:t xml:space="preserve">£13.10 per hour – based on </w:t>
      </w:r>
      <w:r w:rsidR="001921BA">
        <w:rPr>
          <w:rFonts w:ascii="Aptos" w:hAnsi="Aptos"/>
        </w:rPr>
        <w:t>data that is unavailable – is</w:t>
      </w:r>
      <w:r w:rsidR="008566E9">
        <w:rPr>
          <w:rFonts w:ascii="Aptos" w:hAnsi="Aptos"/>
        </w:rPr>
        <w:t xml:space="preserve"> </w:t>
      </w:r>
      <w:r w:rsidR="00920AAD">
        <w:rPr>
          <w:rFonts w:ascii="Aptos" w:hAnsi="Aptos"/>
        </w:rPr>
        <w:t>too high an increase</w:t>
      </w:r>
      <w:r w:rsidR="00280188">
        <w:rPr>
          <w:rFonts w:ascii="Aptos" w:hAnsi="Aptos"/>
        </w:rPr>
        <w:t>, is against agreed States’ policy, and i</w:t>
      </w:r>
      <w:r w:rsidR="00D5448B">
        <w:rPr>
          <w:rFonts w:ascii="Aptos" w:hAnsi="Aptos"/>
        </w:rPr>
        <w:t>ncreasing the minimum wage to above 60% of median earnings i</w:t>
      </w:r>
      <w:r w:rsidR="00280188">
        <w:rPr>
          <w:rFonts w:ascii="Aptos" w:hAnsi="Aptos"/>
        </w:rPr>
        <w:t>s not something that employers have been consulted on</w:t>
      </w:r>
      <w:r w:rsidR="00920AAD">
        <w:rPr>
          <w:rFonts w:ascii="Aptos" w:hAnsi="Aptos"/>
        </w:rPr>
        <w:t>.</w:t>
      </w:r>
    </w:p>
    <w:p w14:paraId="7948924C" w14:textId="77777777" w:rsidR="00E1676F" w:rsidRPr="004B01F3" w:rsidRDefault="00E1676F" w:rsidP="00E1676F">
      <w:pPr>
        <w:pStyle w:val="Heading3"/>
        <w:spacing w:before="281" w:after="281"/>
        <w:rPr>
          <w:rFonts w:ascii="Aptos" w:hAnsi="Aptos"/>
          <w:color w:val="auto"/>
          <w:sz w:val="22"/>
          <w:szCs w:val="22"/>
        </w:rPr>
      </w:pPr>
      <w:r w:rsidRPr="004B01F3">
        <w:rPr>
          <w:rFonts w:ascii="Aptos" w:hAnsi="Aptos"/>
          <w:b/>
          <w:bCs/>
          <w:color w:val="auto"/>
          <w:sz w:val="22"/>
          <w:szCs w:val="22"/>
        </w:rPr>
        <w:t>Inflation and Wage Increases</w:t>
      </w:r>
    </w:p>
    <w:p w14:paraId="0C28E648" w14:textId="452C39C9" w:rsidR="00066235" w:rsidRDefault="00E1676F" w:rsidP="00E1676F">
      <w:pPr>
        <w:spacing w:before="240" w:after="240"/>
        <w:rPr>
          <w:rFonts w:ascii="Aptos" w:hAnsi="Aptos"/>
        </w:rPr>
      </w:pPr>
      <w:r w:rsidRPr="004B01F3">
        <w:rPr>
          <w:rFonts w:ascii="Aptos" w:hAnsi="Aptos"/>
        </w:rPr>
        <w:t>The proposed increase from £12</w:t>
      </w:r>
      <w:r w:rsidR="002E0E7A">
        <w:rPr>
          <w:rFonts w:ascii="Aptos" w:hAnsi="Aptos"/>
        </w:rPr>
        <w:t>.</w:t>
      </w:r>
      <w:r w:rsidR="00066235">
        <w:rPr>
          <w:rFonts w:ascii="Aptos" w:hAnsi="Aptos"/>
        </w:rPr>
        <w:t>6</w:t>
      </w:r>
      <w:r w:rsidR="002E0E7A">
        <w:rPr>
          <w:rFonts w:ascii="Aptos" w:hAnsi="Aptos"/>
        </w:rPr>
        <w:t>0</w:t>
      </w:r>
      <w:r w:rsidRPr="004B01F3">
        <w:rPr>
          <w:rFonts w:ascii="Aptos" w:hAnsi="Aptos"/>
        </w:rPr>
        <w:t xml:space="preserve"> to £13</w:t>
      </w:r>
      <w:r w:rsidR="002E0E7A">
        <w:rPr>
          <w:rFonts w:ascii="Aptos" w:hAnsi="Aptos"/>
        </w:rPr>
        <w:t>.</w:t>
      </w:r>
      <w:r w:rsidR="00280188">
        <w:rPr>
          <w:rFonts w:ascii="Aptos" w:hAnsi="Aptos"/>
        </w:rPr>
        <w:t>1</w:t>
      </w:r>
      <w:r w:rsidR="002E0E7A">
        <w:rPr>
          <w:rFonts w:ascii="Aptos" w:hAnsi="Aptos"/>
        </w:rPr>
        <w:t>0</w:t>
      </w:r>
      <w:r w:rsidRPr="004B01F3">
        <w:rPr>
          <w:rFonts w:ascii="Aptos" w:hAnsi="Aptos"/>
        </w:rPr>
        <w:t xml:space="preserve"> per hour represents </w:t>
      </w:r>
      <w:r w:rsidR="00113912">
        <w:rPr>
          <w:rFonts w:ascii="Aptos" w:hAnsi="Aptos"/>
        </w:rPr>
        <w:t xml:space="preserve">an increase of </w:t>
      </w:r>
      <w:r w:rsidR="00066235">
        <w:rPr>
          <w:rFonts w:ascii="Aptos" w:hAnsi="Aptos"/>
        </w:rPr>
        <w:t>4</w:t>
      </w:r>
      <w:r w:rsidR="00113912">
        <w:rPr>
          <w:rFonts w:ascii="Aptos" w:hAnsi="Aptos"/>
        </w:rPr>
        <w:t>%</w:t>
      </w:r>
      <w:r w:rsidR="00066235">
        <w:rPr>
          <w:rFonts w:ascii="Aptos" w:hAnsi="Aptos"/>
        </w:rPr>
        <w:t xml:space="preserve"> which is the core rate of inflation currently. </w:t>
      </w:r>
    </w:p>
    <w:p w14:paraId="30220F3E" w14:textId="704A5695" w:rsidR="00D55D29" w:rsidRDefault="00B26CDB" w:rsidP="00E1676F">
      <w:pPr>
        <w:spacing w:before="240" w:after="240"/>
        <w:rPr>
          <w:rFonts w:ascii="Aptos" w:hAnsi="Aptos"/>
        </w:rPr>
      </w:pPr>
      <w:r>
        <w:rPr>
          <w:rFonts w:ascii="Aptos" w:hAnsi="Aptos"/>
        </w:rPr>
        <w:t xml:space="preserve">The GRG has previously urged ESS against raising the minimum wage above the rate of </w:t>
      </w:r>
      <w:r w:rsidR="00360DCE">
        <w:rPr>
          <w:rFonts w:ascii="Aptos" w:hAnsi="Aptos"/>
        </w:rPr>
        <w:t>inflation and</w:t>
      </w:r>
      <w:r>
        <w:rPr>
          <w:rFonts w:ascii="Aptos" w:hAnsi="Aptos"/>
        </w:rPr>
        <w:t xml:space="preserve"> is pleased to see that is not proposed for 2026/27</w:t>
      </w:r>
      <w:r w:rsidR="00D55D29">
        <w:rPr>
          <w:rFonts w:ascii="Aptos" w:hAnsi="Aptos"/>
        </w:rPr>
        <w:t>. However, the rate that the minimum wage is increasing continues to out-pace inflation</w:t>
      </w:r>
      <w:r w:rsidR="00F11874">
        <w:rPr>
          <w:rFonts w:ascii="Aptos" w:hAnsi="Aptos"/>
        </w:rPr>
        <w:t xml:space="preserve"> and that </w:t>
      </w:r>
      <w:proofErr w:type="gramStart"/>
      <w:r w:rsidR="00F11874">
        <w:rPr>
          <w:rFonts w:ascii="Aptos" w:hAnsi="Aptos"/>
        </w:rPr>
        <w:t>in itself is</w:t>
      </w:r>
      <w:proofErr w:type="gramEnd"/>
      <w:r w:rsidR="00F11874">
        <w:rPr>
          <w:rFonts w:ascii="Aptos" w:hAnsi="Aptos"/>
        </w:rPr>
        <w:t xml:space="preserve"> concerning. </w:t>
      </w:r>
    </w:p>
    <w:p w14:paraId="1A66AAAF" w14:textId="1E0BC4A2" w:rsidR="001845EA" w:rsidRPr="004B01F3" w:rsidRDefault="001845EA" w:rsidP="77D96E7E">
      <w:pPr>
        <w:spacing w:before="240" w:after="240"/>
        <w:rPr>
          <w:rFonts w:ascii="Aptos" w:hAnsi="Aptos"/>
        </w:rPr>
      </w:pPr>
      <w:r w:rsidRPr="004B01F3">
        <w:rPr>
          <w:rFonts w:ascii="Aptos" w:hAnsi="Aptos"/>
        </w:rPr>
        <w:t xml:space="preserve">As background we include </w:t>
      </w:r>
      <w:r w:rsidR="00CD0F10" w:rsidRPr="004B01F3">
        <w:rPr>
          <w:rFonts w:ascii="Aptos" w:hAnsi="Aptos"/>
        </w:rPr>
        <w:t>a</w:t>
      </w:r>
      <w:r w:rsidR="00D55D29">
        <w:rPr>
          <w:rFonts w:ascii="Aptos" w:hAnsi="Aptos"/>
        </w:rPr>
        <w:t xml:space="preserve">n updated </w:t>
      </w:r>
      <w:r w:rsidR="00CD0F10" w:rsidRPr="004B01F3">
        <w:rPr>
          <w:rFonts w:ascii="Aptos" w:hAnsi="Aptos"/>
        </w:rPr>
        <w:t xml:space="preserve">reminder as to how minimum wage has been </w:t>
      </w:r>
      <w:r w:rsidR="00E13FDC" w:rsidRPr="004B01F3">
        <w:rPr>
          <w:rFonts w:ascii="Aptos" w:hAnsi="Aptos"/>
        </w:rPr>
        <w:t xml:space="preserve">accelerated </w:t>
      </w:r>
      <w:r w:rsidR="00CD0F10" w:rsidRPr="004B01F3">
        <w:rPr>
          <w:rFonts w:ascii="Aptos" w:hAnsi="Aptos"/>
        </w:rPr>
        <w:t>over the last few years and runs at an alarming rate ahead</w:t>
      </w:r>
      <w:r w:rsidR="00BD5EBE">
        <w:rPr>
          <w:rFonts w:ascii="Aptos" w:hAnsi="Aptos"/>
        </w:rPr>
        <w:t xml:space="preserve"> of</w:t>
      </w:r>
      <w:r w:rsidR="00CD0F10" w:rsidRPr="004B01F3">
        <w:rPr>
          <w:rFonts w:ascii="Aptos" w:hAnsi="Aptos"/>
        </w:rPr>
        <w:t xml:space="preserve"> inflation.</w:t>
      </w:r>
      <w:r w:rsidR="00BD5EBE">
        <w:rPr>
          <w:rFonts w:ascii="Aptos" w:hAnsi="Aptos"/>
        </w:rPr>
        <w:br/>
      </w:r>
      <w:r w:rsidR="00BD5EBE">
        <w:rPr>
          <w:rFonts w:ascii="Aptos" w:hAnsi="Aptos"/>
        </w:rPr>
        <w:br/>
      </w:r>
      <w:r w:rsidR="00BD5EBE">
        <w:rPr>
          <w:rFonts w:ascii="Aptos" w:hAnsi="Aptos"/>
        </w:rPr>
        <w:br/>
      </w:r>
      <w:r w:rsidR="00BD5EBE">
        <w:rPr>
          <w:rFonts w:ascii="Aptos" w:hAnsi="Aptos"/>
        </w:rPr>
        <w:lastRenderedPageBreak/>
        <w:br/>
      </w:r>
    </w:p>
    <w:tbl>
      <w:tblPr>
        <w:tblW w:w="10357" w:type="dxa"/>
        <w:tblLook w:val="04A0" w:firstRow="1" w:lastRow="0" w:firstColumn="1" w:lastColumn="0" w:noHBand="0" w:noVBand="1"/>
      </w:tblPr>
      <w:tblGrid>
        <w:gridCol w:w="2540"/>
        <w:gridCol w:w="1146"/>
        <w:gridCol w:w="1417"/>
        <w:gridCol w:w="1134"/>
        <w:gridCol w:w="4120"/>
      </w:tblGrid>
      <w:tr w:rsidR="004B01F3" w:rsidRPr="001845EA" w14:paraId="352316F5" w14:textId="77777777" w:rsidTr="001845EA">
        <w:trPr>
          <w:trHeight w:val="300"/>
        </w:trPr>
        <w:tc>
          <w:tcPr>
            <w:tcW w:w="2540" w:type="dxa"/>
            <w:tcBorders>
              <w:top w:val="nil"/>
              <w:left w:val="nil"/>
              <w:bottom w:val="nil"/>
              <w:right w:val="nil"/>
            </w:tcBorders>
            <w:noWrap/>
            <w:vAlign w:val="bottom"/>
            <w:hideMark/>
          </w:tcPr>
          <w:p w14:paraId="7251BC2F" w14:textId="77777777" w:rsidR="001845EA" w:rsidRPr="001845EA" w:rsidRDefault="001845EA" w:rsidP="001845EA">
            <w:pPr>
              <w:spacing w:after="0" w:line="240" w:lineRule="auto"/>
              <w:rPr>
                <w:rFonts w:ascii="Aptos" w:eastAsia="Times New Roman" w:hAnsi="Aptos" w:cs="Times New Roman"/>
                <w:lang w:eastAsia="en-GB"/>
              </w:rPr>
            </w:pPr>
          </w:p>
        </w:tc>
        <w:tc>
          <w:tcPr>
            <w:tcW w:w="1146" w:type="dxa"/>
            <w:tcBorders>
              <w:top w:val="nil"/>
              <w:left w:val="nil"/>
              <w:bottom w:val="nil"/>
              <w:right w:val="nil"/>
            </w:tcBorders>
            <w:noWrap/>
            <w:vAlign w:val="bottom"/>
            <w:hideMark/>
          </w:tcPr>
          <w:p w14:paraId="44AD3915" w14:textId="77777777" w:rsidR="001845EA" w:rsidRPr="001845EA" w:rsidRDefault="001845EA" w:rsidP="00564D81">
            <w:pPr>
              <w:spacing w:after="0" w:line="240" w:lineRule="auto"/>
              <w:jc w:val="center"/>
              <w:rPr>
                <w:rFonts w:ascii="Aptos" w:eastAsia="Times New Roman" w:hAnsi="Aptos" w:cs="Times New Roman"/>
                <w:b/>
                <w:bCs/>
                <w:lang w:eastAsia="en-GB"/>
              </w:rPr>
            </w:pPr>
            <w:r w:rsidRPr="001845EA">
              <w:rPr>
                <w:rFonts w:ascii="Aptos" w:eastAsia="Times New Roman" w:hAnsi="Aptos" w:cs="Times New Roman"/>
                <w:b/>
                <w:bCs/>
                <w:lang w:eastAsia="en-GB"/>
              </w:rPr>
              <w:t>2019</w:t>
            </w:r>
          </w:p>
        </w:tc>
        <w:tc>
          <w:tcPr>
            <w:tcW w:w="1417" w:type="dxa"/>
            <w:tcBorders>
              <w:top w:val="nil"/>
              <w:left w:val="nil"/>
              <w:bottom w:val="nil"/>
              <w:right w:val="nil"/>
            </w:tcBorders>
            <w:noWrap/>
            <w:vAlign w:val="bottom"/>
            <w:hideMark/>
          </w:tcPr>
          <w:p w14:paraId="4473A495" w14:textId="02BFB22C" w:rsidR="001845EA" w:rsidRPr="001845EA" w:rsidRDefault="001845EA" w:rsidP="00564D81">
            <w:pPr>
              <w:spacing w:after="0" w:line="240" w:lineRule="auto"/>
              <w:jc w:val="center"/>
              <w:rPr>
                <w:rFonts w:ascii="Aptos" w:eastAsia="Times New Roman" w:hAnsi="Aptos" w:cs="Times New Roman"/>
                <w:b/>
                <w:bCs/>
                <w:lang w:eastAsia="en-GB"/>
              </w:rPr>
            </w:pPr>
            <w:r w:rsidRPr="001845EA">
              <w:rPr>
                <w:rFonts w:ascii="Aptos" w:eastAsia="Times New Roman" w:hAnsi="Aptos" w:cs="Times New Roman"/>
                <w:b/>
                <w:bCs/>
                <w:lang w:eastAsia="en-GB"/>
              </w:rPr>
              <w:t>202</w:t>
            </w:r>
            <w:r w:rsidR="00D55D29">
              <w:rPr>
                <w:rFonts w:ascii="Aptos" w:eastAsia="Times New Roman" w:hAnsi="Aptos" w:cs="Times New Roman"/>
                <w:b/>
                <w:bCs/>
                <w:lang w:eastAsia="en-GB"/>
              </w:rPr>
              <w:t xml:space="preserve">6       </w:t>
            </w:r>
          </w:p>
        </w:tc>
        <w:tc>
          <w:tcPr>
            <w:tcW w:w="1134" w:type="dxa"/>
            <w:tcBorders>
              <w:top w:val="nil"/>
              <w:left w:val="nil"/>
              <w:bottom w:val="nil"/>
              <w:right w:val="nil"/>
            </w:tcBorders>
            <w:noWrap/>
            <w:vAlign w:val="bottom"/>
            <w:hideMark/>
          </w:tcPr>
          <w:p w14:paraId="237DCCAF" w14:textId="0856D546" w:rsidR="001845EA" w:rsidRPr="001845EA" w:rsidRDefault="00336653" w:rsidP="00564D81">
            <w:pPr>
              <w:spacing w:after="0" w:line="240" w:lineRule="auto"/>
              <w:jc w:val="center"/>
              <w:rPr>
                <w:rFonts w:ascii="Aptos" w:eastAsia="Times New Roman" w:hAnsi="Aptos" w:cs="Times New Roman"/>
                <w:b/>
                <w:bCs/>
                <w:lang w:eastAsia="en-GB"/>
              </w:rPr>
            </w:pPr>
            <w:r>
              <w:rPr>
                <w:rFonts w:ascii="Aptos" w:eastAsia="Times New Roman" w:hAnsi="Aptos" w:cs="Times New Roman"/>
                <w:b/>
                <w:bCs/>
                <w:lang w:eastAsia="en-GB"/>
              </w:rPr>
              <w:t xml:space="preserve">Change </w:t>
            </w:r>
            <w:r w:rsidR="001845EA" w:rsidRPr="001845EA">
              <w:rPr>
                <w:rFonts w:ascii="Aptos" w:eastAsia="Times New Roman" w:hAnsi="Aptos" w:cs="Times New Roman"/>
                <w:b/>
                <w:bCs/>
                <w:lang w:eastAsia="en-GB"/>
              </w:rPr>
              <w:t>%</w:t>
            </w:r>
          </w:p>
        </w:tc>
        <w:tc>
          <w:tcPr>
            <w:tcW w:w="4120" w:type="dxa"/>
            <w:tcBorders>
              <w:top w:val="nil"/>
              <w:left w:val="nil"/>
              <w:bottom w:val="nil"/>
              <w:right w:val="nil"/>
            </w:tcBorders>
            <w:noWrap/>
            <w:vAlign w:val="bottom"/>
            <w:hideMark/>
          </w:tcPr>
          <w:p w14:paraId="2C222646" w14:textId="1F84CCC7" w:rsidR="00D55D29" w:rsidRPr="001845EA" w:rsidRDefault="00D55D29" w:rsidP="001845EA">
            <w:pPr>
              <w:spacing w:after="0" w:line="240" w:lineRule="auto"/>
              <w:rPr>
                <w:rFonts w:ascii="Aptos" w:eastAsia="Times New Roman" w:hAnsi="Aptos" w:cs="Times New Roman"/>
                <w:b/>
                <w:bCs/>
                <w:lang w:eastAsia="en-GB"/>
              </w:rPr>
            </w:pPr>
          </w:p>
        </w:tc>
      </w:tr>
      <w:tr w:rsidR="004B01F3" w:rsidRPr="001845EA" w14:paraId="6EE75E8E" w14:textId="77777777" w:rsidTr="001845EA">
        <w:trPr>
          <w:trHeight w:val="300"/>
        </w:trPr>
        <w:tc>
          <w:tcPr>
            <w:tcW w:w="2540" w:type="dxa"/>
            <w:tcBorders>
              <w:top w:val="nil"/>
              <w:left w:val="nil"/>
              <w:bottom w:val="nil"/>
              <w:right w:val="nil"/>
            </w:tcBorders>
            <w:noWrap/>
            <w:vAlign w:val="bottom"/>
            <w:hideMark/>
          </w:tcPr>
          <w:p w14:paraId="1E349271" w14:textId="77777777" w:rsidR="001845EA" w:rsidRPr="001845EA" w:rsidRDefault="001845EA" w:rsidP="001845EA">
            <w:pPr>
              <w:spacing w:after="0" w:line="240" w:lineRule="auto"/>
              <w:rPr>
                <w:rFonts w:ascii="Aptos" w:eastAsia="Times New Roman" w:hAnsi="Aptos" w:cs="Times New Roman"/>
                <w:lang w:eastAsia="en-GB"/>
              </w:rPr>
            </w:pPr>
            <w:r w:rsidRPr="001845EA">
              <w:rPr>
                <w:rFonts w:ascii="Aptos" w:eastAsia="Times New Roman" w:hAnsi="Aptos" w:cs="Times New Roman"/>
                <w:lang w:eastAsia="en-GB"/>
              </w:rPr>
              <w:t>Min adult rate</w:t>
            </w:r>
          </w:p>
        </w:tc>
        <w:tc>
          <w:tcPr>
            <w:tcW w:w="1146" w:type="dxa"/>
            <w:tcBorders>
              <w:top w:val="nil"/>
              <w:left w:val="nil"/>
              <w:bottom w:val="nil"/>
              <w:right w:val="nil"/>
            </w:tcBorders>
            <w:noWrap/>
            <w:vAlign w:val="bottom"/>
            <w:hideMark/>
          </w:tcPr>
          <w:p w14:paraId="61E2BFEE" w14:textId="2D4FD33F" w:rsidR="001845EA" w:rsidRPr="001845EA" w:rsidRDefault="001845EA" w:rsidP="00564D81">
            <w:pPr>
              <w:spacing w:after="0" w:line="240" w:lineRule="auto"/>
              <w:jc w:val="center"/>
              <w:rPr>
                <w:rFonts w:ascii="Aptos" w:eastAsia="Times New Roman" w:hAnsi="Aptos" w:cs="Times New Roman"/>
                <w:lang w:eastAsia="en-GB"/>
              </w:rPr>
            </w:pPr>
            <w:r w:rsidRPr="001845EA">
              <w:rPr>
                <w:rFonts w:ascii="Aptos" w:eastAsia="Times New Roman" w:hAnsi="Aptos" w:cs="Times New Roman"/>
                <w:lang w:eastAsia="en-GB"/>
              </w:rPr>
              <w:t>£       8.10</w:t>
            </w:r>
          </w:p>
        </w:tc>
        <w:tc>
          <w:tcPr>
            <w:tcW w:w="1417" w:type="dxa"/>
            <w:tcBorders>
              <w:top w:val="nil"/>
              <w:left w:val="nil"/>
              <w:bottom w:val="nil"/>
              <w:right w:val="nil"/>
            </w:tcBorders>
            <w:noWrap/>
            <w:vAlign w:val="bottom"/>
            <w:hideMark/>
          </w:tcPr>
          <w:p w14:paraId="52EA0738" w14:textId="4B8E7445" w:rsidR="001845EA" w:rsidRPr="001845EA" w:rsidRDefault="001845EA" w:rsidP="00564D81">
            <w:pPr>
              <w:spacing w:after="0" w:line="240" w:lineRule="auto"/>
              <w:jc w:val="center"/>
              <w:rPr>
                <w:rFonts w:ascii="Aptos" w:eastAsia="Times New Roman" w:hAnsi="Aptos" w:cs="Times New Roman"/>
                <w:lang w:eastAsia="en-GB"/>
              </w:rPr>
            </w:pPr>
            <w:r w:rsidRPr="001845EA">
              <w:rPr>
                <w:rFonts w:ascii="Aptos" w:eastAsia="Times New Roman" w:hAnsi="Aptos" w:cs="Times New Roman"/>
                <w:lang w:eastAsia="en-GB"/>
              </w:rPr>
              <w:t>£    13.</w:t>
            </w:r>
            <w:r w:rsidR="00D55D29">
              <w:rPr>
                <w:rFonts w:ascii="Aptos" w:eastAsia="Times New Roman" w:hAnsi="Aptos" w:cs="Times New Roman"/>
                <w:lang w:eastAsia="en-GB"/>
              </w:rPr>
              <w:t>1</w:t>
            </w:r>
            <w:r w:rsidRPr="001845EA">
              <w:rPr>
                <w:rFonts w:ascii="Aptos" w:eastAsia="Times New Roman" w:hAnsi="Aptos" w:cs="Times New Roman"/>
                <w:lang w:eastAsia="en-GB"/>
              </w:rPr>
              <w:t>0</w:t>
            </w:r>
          </w:p>
        </w:tc>
        <w:tc>
          <w:tcPr>
            <w:tcW w:w="1134" w:type="dxa"/>
            <w:tcBorders>
              <w:top w:val="nil"/>
              <w:left w:val="nil"/>
              <w:bottom w:val="nil"/>
              <w:right w:val="nil"/>
            </w:tcBorders>
            <w:noWrap/>
            <w:vAlign w:val="bottom"/>
            <w:hideMark/>
          </w:tcPr>
          <w:p w14:paraId="7723CF8C" w14:textId="46C8BD39" w:rsidR="001845EA" w:rsidRPr="001845EA" w:rsidRDefault="00BD5EBE" w:rsidP="00564D81">
            <w:pPr>
              <w:spacing w:after="0" w:line="240" w:lineRule="auto"/>
              <w:jc w:val="center"/>
              <w:rPr>
                <w:rFonts w:ascii="Aptos" w:eastAsia="Times New Roman" w:hAnsi="Aptos" w:cs="Times New Roman"/>
                <w:lang w:eastAsia="en-GB"/>
              </w:rPr>
            </w:pPr>
            <w:r>
              <w:rPr>
                <w:rFonts w:ascii="Aptos" w:eastAsia="Times New Roman" w:hAnsi="Aptos" w:cs="Times New Roman"/>
                <w:lang w:eastAsia="en-GB"/>
              </w:rPr>
              <w:t xml:space="preserve">   </w:t>
            </w:r>
            <w:r w:rsidR="001845EA" w:rsidRPr="001845EA">
              <w:rPr>
                <w:rFonts w:ascii="Aptos" w:eastAsia="Times New Roman" w:hAnsi="Aptos" w:cs="Times New Roman"/>
                <w:lang w:eastAsia="en-GB"/>
              </w:rPr>
              <w:t>6</w:t>
            </w:r>
            <w:r w:rsidR="00CF7188">
              <w:rPr>
                <w:rFonts w:ascii="Aptos" w:eastAsia="Times New Roman" w:hAnsi="Aptos" w:cs="Times New Roman"/>
                <w:lang w:eastAsia="en-GB"/>
              </w:rPr>
              <w:t>1.7</w:t>
            </w:r>
            <w:r w:rsidR="001845EA" w:rsidRPr="001845EA">
              <w:rPr>
                <w:rFonts w:ascii="Aptos" w:eastAsia="Times New Roman" w:hAnsi="Aptos" w:cs="Times New Roman"/>
                <w:lang w:eastAsia="en-GB"/>
              </w:rPr>
              <w:t>%</w:t>
            </w:r>
            <w:r w:rsidR="00D55D29">
              <w:rPr>
                <w:rFonts w:ascii="Aptos" w:eastAsia="Times New Roman" w:hAnsi="Aptos" w:cs="Times New Roman"/>
                <w:lang w:eastAsia="en-GB"/>
              </w:rPr>
              <w:t xml:space="preserve">                   </w:t>
            </w:r>
          </w:p>
        </w:tc>
        <w:tc>
          <w:tcPr>
            <w:tcW w:w="4120" w:type="dxa"/>
            <w:tcBorders>
              <w:top w:val="nil"/>
              <w:left w:val="nil"/>
              <w:bottom w:val="nil"/>
              <w:right w:val="nil"/>
            </w:tcBorders>
            <w:noWrap/>
            <w:vAlign w:val="bottom"/>
            <w:hideMark/>
          </w:tcPr>
          <w:p w14:paraId="33DE36C1" w14:textId="77777777" w:rsidR="001845EA" w:rsidRPr="001845EA" w:rsidRDefault="001845EA" w:rsidP="001845EA">
            <w:pPr>
              <w:spacing w:after="0" w:line="240" w:lineRule="auto"/>
              <w:jc w:val="right"/>
              <w:rPr>
                <w:rFonts w:ascii="Aptos" w:eastAsia="Times New Roman" w:hAnsi="Aptos" w:cs="Times New Roman"/>
                <w:lang w:eastAsia="en-GB"/>
              </w:rPr>
            </w:pPr>
          </w:p>
        </w:tc>
      </w:tr>
      <w:tr w:rsidR="004B01F3" w:rsidRPr="001845EA" w14:paraId="4ED1AEB1" w14:textId="77777777" w:rsidTr="001845EA">
        <w:trPr>
          <w:trHeight w:val="300"/>
        </w:trPr>
        <w:tc>
          <w:tcPr>
            <w:tcW w:w="2540" w:type="dxa"/>
            <w:tcBorders>
              <w:top w:val="nil"/>
              <w:left w:val="nil"/>
              <w:bottom w:val="nil"/>
              <w:right w:val="nil"/>
            </w:tcBorders>
            <w:noWrap/>
            <w:vAlign w:val="bottom"/>
            <w:hideMark/>
          </w:tcPr>
          <w:p w14:paraId="3D2362A0" w14:textId="77777777" w:rsidR="001845EA" w:rsidRPr="001845EA" w:rsidRDefault="001845EA" w:rsidP="001845EA">
            <w:pPr>
              <w:spacing w:after="0" w:line="240" w:lineRule="auto"/>
              <w:rPr>
                <w:rFonts w:ascii="Aptos" w:eastAsia="Times New Roman" w:hAnsi="Aptos" w:cs="Times New Roman"/>
                <w:lang w:eastAsia="en-GB"/>
              </w:rPr>
            </w:pPr>
            <w:r w:rsidRPr="001845EA">
              <w:rPr>
                <w:rFonts w:ascii="Aptos" w:eastAsia="Times New Roman" w:hAnsi="Aptos" w:cs="Times New Roman"/>
                <w:lang w:eastAsia="en-GB"/>
              </w:rPr>
              <w:t>Min young person rate</w:t>
            </w:r>
          </w:p>
        </w:tc>
        <w:tc>
          <w:tcPr>
            <w:tcW w:w="1146" w:type="dxa"/>
            <w:tcBorders>
              <w:top w:val="nil"/>
              <w:left w:val="nil"/>
              <w:bottom w:val="nil"/>
              <w:right w:val="nil"/>
            </w:tcBorders>
            <w:noWrap/>
            <w:vAlign w:val="bottom"/>
            <w:hideMark/>
          </w:tcPr>
          <w:p w14:paraId="118B637A" w14:textId="7CE64AB8" w:rsidR="001845EA" w:rsidRPr="001845EA" w:rsidRDefault="001845EA" w:rsidP="00564D81">
            <w:pPr>
              <w:spacing w:after="0" w:line="240" w:lineRule="auto"/>
              <w:jc w:val="center"/>
              <w:rPr>
                <w:rFonts w:ascii="Aptos" w:eastAsia="Times New Roman" w:hAnsi="Aptos" w:cs="Times New Roman"/>
                <w:lang w:eastAsia="en-GB"/>
              </w:rPr>
            </w:pPr>
            <w:r w:rsidRPr="001845EA">
              <w:rPr>
                <w:rFonts w:ascii="Aptos" w:eastAsia="Times New Roman" w:hAnsi="Aptos" w:cs="Times New Roman"/>
                <w:lang w:eastAsia="en-GB"/>
              </w:rPr>
              <w:t>£       7.50</w:t>
            </w:r>
          </w:p>
        </w:tc>
        <w:tc>
          <w:tcPr>
            <w:tcW w:w="1417" w:type="dxa"/>
            <w:tcBorders>
              <w:top w:val="nil"/>
              <w:left w:val="nil"/>
              <w:bottom w:val="nil"/>
              <w:right w:val="nil"/>
            </w:tcBorders>
            <w:noWrap/>
            <w:vAlign w:val="bottom"/>
            <w:hideMark/>
          </w:tcPr>
          <w:p w14:paraId="2B740082" w14:textId="0FB4515C" w:rsidR="001845EA" w:rsidRPr="001845EA" w:rsidRDefault="001845EA" w:rsidP="00564D81">
            <w:pPr>
              <w:spacing w:after="0" w:line="240" w:lineRule="auto"/>
              <w:jc w:val="center"/>
              <w:rPr>
                <w:rFonts w:ascii="Aptos" w:eastAsia="Times New Roman" w:hAnsi="Aptos" w:cs="Times New Roman"/>
                <w:lang w:eastAsia="en-GB"/>
              </w:rPr>
            </w:pPr>
            <w:r w:rsidRPr="001845EA">
              <w:rPr>
                <w:rFonts w:ascii="Aptos" w:eastAsia="Times New Roman" w:hAnsi="Aptos" w:cs="Times New Roman"/>
                <w:lang w:eastAsia="en-GB"/>
              </w:rPr>
              <w:t>£    1</w:t>
            </w:r>
            <w:r w:rsidR="00336653">
              <w:rPr>
                <w:rFonts w:ascii="Aptos" w:eastAsia="Times New Roman" w:hAnsi="Aptos" w:cs="Times New Roman"/>
                <w:lang w:eastAsia="en-GB"/>
              </w:rPr>
              <w:t>3</w:t>
            </w:r>
            <w:r w:rsidRPr="001845EA">
              <w:rPr>
                <w:rFonts w:ascii="Aptos" w:eastAsia="Times New Roman" w:hAnsi="Aptos" w:cs="Times New Roman"/>
                <w:lang w:eastAsia="en-GB"/>
              </w:rPr>
              <w:t>.</w:t>
            </w:r>
            <w:r w:rsidR="00336653">
              <w:rPr>
                <w:rFonts w:ascii="Aptos" w:eastAsia="Times New Roman" w:hAnsi="Aptos" w:cs="Times New Roman"/>
                <w:lang w:eastAsia="en-GB"/>
              </w:rPr>
              <w:t>1</w:t>
            </w:r>
            <w:r w:rsidRPr="001845EA">
              <w:rPr>
                <w:rFonts w:ascii="Aptos" w:eastAsia="Times New Roman" w:hAnsi="Aptos" w:cs="Times New Roman"/>
                <w:lang w:eastAsia="en-GB"/>
              </w:rPr>
              <w:t>0</w:t>
            </w:r>
          </w:p>
        </w:tc>
        <w:tc>
          <w:tcPr>
            <w:tcW w:w="1134" w:type="dxa"/>
            <w:tcBorders>
              <w:top w:val="nil"/>
              <w:left w:val="nil"/>
              <w:bottom w:val="nil"/>
              <w:right w:val="nil"/>
            </w:tcBorders>
            <w:noWrap/>
            <w:vAlign w:val="bottom"/>
            <w:hideMark/>
          </w:tcPr>
          <w:p w14:paraId="1C44561E" w14:textId="6310B55E" w:rsidR="001845EA" w:rsidRPr="001845EA" w:rsidRDefault="001D4C33" w:rsidP="00564D81">
            <w:pPr>
              <w:spacing w:after="0" w:line="240" w:lineRule="auto"/>
              <w:jc w:val="center"/>
              <w:rPr>
                <w:rFonts w:ascii="Aptos" w:eastAsia="Times New Roman" w:hAnsi="Aptos" w:cs="Times New Roman"/>
                <w:lang w:eastAsia="en-GB"/>
              </w:rPr>
            </w:pPr>
            <w:r>
              <w:rPr>
                <w:rFonts w:ascii="Aptos" w:eastAsia="Times New Roman" w:hAnsi="Aptos" w:cs="Times New Roman"/>
                <w:lang w:eastAsia="en-GB"/>
              </w:rPr>
              <w:t>75</w:t>
            </w:r>
            <w:r w:rsidR="001845EA" w:rsidRPr="001845EA">
              <w:rPr>
                <w:rFonts w:ascii="Aptos" w:eastAsia="Times New Roman" w:hAnsi="Aptos" w:cs="Times New Roman"/>
                <w:lang w:eastAsia="en-GB"/>
              </w:rPr>
              <w:t>%</w:t>
            </w:r>
          </w:p>
        </w:tc>
        <w:tc>
          <w:tcPr>
            <w:tcW w:w="4120" w:type="dxa"/>
            <w:tcBorders>
              <w:top w:val="nil"/>
              <w:left w:val="nil"/>
              <w:bottom w:val="nil"/>
              <w:right w:val="nil"/>
            </w:tcBorders>
            <w:noWrap/>
            <w:vAlign w:val="bottom"/>
            <w:hideMark/>
          </w:tcPr>
          <w:p w14:paraId="04A87D0A" w14:textId="77777777" w:rsidR="001845EA" w:rsidRPr="001845EA" w:rsidRDefault="001845EA" w:rsidP="001845EA">
            <w:pPr>
              <w:spacing w:after="0" w:line="240" w:lineRule="auto"/>
              <w:jc w:val="right"/>
              <w:rPr>
                <w:rFonts w:ascii="Aptos" w:eastAsia="Times New Roman" w:hAnsi="Aptos" w:cs="Times New Roman"/>
                <w:lang w:eastAsia="en-GB"/>
              </w:rPr>
            </w:pPr>
          </w:p>
        </w:tc>
      </w:tr>
      <w:tr w:rsidR="004B01F3" w:rsidRPr="001845EA" w14:paraId="53C82D6F" w14:textId="77777777" w:rsidTr="001845EA">
        <w:trPr>
          <w:trHeight w:val="300"/>
        </w:trPr>
        <w:tc>
          <w:tcPr>
            <w:tcW w:w="2540" w:type="dxa"/>
            <w:tcBorders>
              <w:top w:val="nil"/>
              <w:left w:val="nil"/>
              <w:bottom w:val="nil"/>
              <w:right w:val="nil"/>
            </w:tcBorders>
            <w:noWrap/>
            <w:vAlign w:val="bottom"/>
            <w:hideMark/>
          </w:tcPr>
          <w:p w14:paraId="5D278FC5" w14:textId="77777777" w:rsidR="001845EA" w:rsidRPr="001845EA" w:rsidRDefault="001845EA" w:rsidP="001845EA">
            <w:pPr>
              <w:spacing w:after="0" w:line="240" w:lineRule="auto"/>
              <w:rPr>
                <w:rFonts w:ascii="Aptos" w:eastAsia="Times New Roman" w:hAnsi="Aptos" w:cs="Times New Roman"/>
                <w:lang w:eastAsia="en-GB"/>
              </w:rPr>
            </w:pPr>
          </w:p>
        </w:tc>
        <w:tc>
          <w:tcPr>
            <w:tcW w:w="1146" w:type="dxa"/>
            <w:tcBorders>
              <w:top w:val="nil"/>
              <w:left w:val="nil"/>
              <w:bottom w:val="nil"/>
              <w:right w:val="nil"/>
            </w:tcBorders>
            <w:noWrap/>
            <w:vAlign w:val="bottom"/>
            <w:hideMark/>
          </w:tcPr>
          <w:p w14:paraId="51C35FBE" w14:textId="77777777" w:rsidR="001845EA" w:rsidRPr="001845EA" w:rsidRDefault="001845EA" w:rsidP="001845EA">
            <w:pPr>
              <w:spacing w:after="0" w:line="240" w:lineRule="auto"/>
              <w:rPr>
                <w:rFonts w:ascii="Aptos" w:eastAsia="Times New Roman" w:hAnsi="Aptos" w:cs="Times New Roman"/>
                <w:lang w:eastAsia="en-GB"/>
              </w:rPr>
            </w:pPr>
          </w:p>
        </w:tc>
        <w:tc>
          <w:tcPr>
            <w:tcW w:w="1417" w:type="dxa"/>
            <w:tcBorders>
              <w:top w:val="nil"/>
              <w:left w:val="nil"/>
              <w:bottom w:val="nil"/>
              <w:right w:val="nil"/>
            </w:tcBorders>
            <w:noWrap/>
            <w:vAlign w:val="bottom"/>
            <w:hideMark/>
          </w:tcPr>
          <w:p w14:paraId="4F3CDA6F" w14:textId="77777777" w:rsidR="001845EA" w:rsidRPr="001845EA" w:rsidRDefault="001845EA" w:rsidP="001845EA">
            <w:pPr>
              <w:spacing w:after="0" w:line="240" w:lineRule="auto"/>
              <w:rPr>
                <w:rFonts w:ascii="Aptos" w:eastAsia="Times New Roman" w:hAnsi="Aptos" w:cs="Times New Roman"/>
                <w:lang w:eastAsia="en-GB"/>
              </w:rPr>
            </w:pPr>
          </w:p>
        </w:tc>
        <w:tc>
          <w:tcPr>
            <w:tcW w:w="1134" w:type="dxa"/>
            <w:tcBorders>
              <w:top w:val="nil"/>
              <w:left w:val="nil"/>
              <w:bottom w:val="nil"/>
              <w:right w:val="nil"/>
            </w:tcBorders>
            <w:noWrap/>
            <w:vAlign w:val="bottom"/>
            <w:hideMark/>
          </w:tcPr>
          <w:p w14:paraId="6C94A911" w14:textId="77777777" w:rsidR="001845EA" w:rsidRPr="001845EA" w:rsidRDefault="001845EA" w:rsidP="001845EA">
            <w:pPr>
              <w:spacing w:after="0" w:line="240" w:lineRule="auto"/>
              <w:rPr>
                <w:rFonts w:ascii="Aptos" w:eastAsia="Times New Roman" w:hAnsi="Aptos" w:cs="Times New Roman"/>
                <w:lang w:eastAsia="en-GB"/>
              </w:rPr>
            </w:pPr>
          </w:p>
        </w:tc>
        <w:tc>
          <w:tcPr>
            <w:tcW w:w="4120" w:type="dxa"/>
            <w:tcBorders>
              <w:top w:val="nil"/>
              <w:left w:val="nil"/>
              <w:bottom w:val="nil"/>
              <w:right w:val="nil"/>
            </w:tcBorders>
            <w:noWrap/>
            <w:vAlign w:val="bottom"/>
            <w:hideMark/>
          </w:tcPr>
          <w:p w14:paraId="1E26DBBA" w14:textId="77777777" w:rsidR="001845EA" w:rsidRPr="001845EA" w:rsidRDefault="001845EA" w:rsidP="001845EA">
            <w:pPr>
              <w:spacing w:after="0" w:line="240" w:lineRule="auto"/>
              <w:rPr>
                <w:rFonts w:ascii="Aptos" w:eastAsia="Times New Roman" w:hAnsi="Aptos" w:cs="Times New Roman"/>
                <w:lang w:eastAsia="en-GB"/>
              </w:rPr>
            </w:pPr>
          </w:p>
        </w:tc>
      </w:tr>
      <w:tr w:rsidR="004B01F3" w:rsidRPr="001845EA" w14:paraId="43AA5E90" w14:textId="77777777" w:rsidTr="001845EA">
        <w:trPr>
          <w:trHeight w:val="300"/>
        </w:trPr>
        <w:tc>
          <w:tcPr>
            <w:tcW w:w="5103" w:type="dxa"/>
            <w:gridSpan w:val="3"/>
            <w:tcBorders>
              <w:top w:val="nil"/>
              <w:left w:val="nil"/>
              <w:bottom w:val="nil"/>
              <w:right w:val="nil"/>
            </w:tcBorders>
            <w:noWrap/>
            <w:vAlign w:val="bottom"/>
            <w:hideMark/>
          </w:tcPr>
          <w:p w14:paraId="7F2B58B3" w14:textId="44833C6A" w:rsidR="001845EA" w:rsidRPr="001845EA" w:rsidRDefault="001845EA" w:rsidP="001845EA">
            <w:pPr>
              <w:spacing w:after="0" w:line="240" w:lineRule="auto"/>
              <w:rPr>
                <w:rFonts w:ascii="Aptos" w:eastAsia="Times New Roman" w:hAnsi="Aptos" w:cs="Times New Roman"/>
                <w:lang w:eastAsia="en-GB"/>
              </w:rPr>
            </w:pPr>
            <w:r w:rsidRPr="001845EA">
              <w:rPr>
                <w:rFonts w:ascii="Aptos" w:eastAsia="Times New Roman" w:hAnsi="Aptos" w:cs="Times New Roman"/>
                <w:lang w:eastAsia="en-GB"/>
              </w:rPr>
              <w:t xml:space="preserve">Guernsey inflation from </w:t>
            </w:r>
            <w:r w:rsidR="00897D11" w:rsidRPr="001845EA">
              <w:rPr>
                <w:rFonts w:ascii="Aptos" w:eastAsia="Times New Roman" w:hAnsi="Aptos" w:cs="Times New Roman"/>
                <w:lang w:eastAsia="en-GB"/>
              </w:rPr>
              <w:t>mid-2019</w:t>
            </w:r>
            <w:r w:rsidRPr="001845EA">
              <w:rPr>
                <w:rFonts w:ascii="Aptos" w:eastAsia="Times New Roman" w:hAnsi="Aptos" w:cs="Times New Roman"/>
                <w:lang w:eastAsia="en-GB"/>
              </w:rPr>
              <w:t xml:space="preserve"> to </w:t>
            </w:r>
            <w:r w:rsidR="002D39BD">
              <w:rPr>
                <w:rFonts w:ascii="Aptos" w:eastAsia="Times New Roman" w:hAnsi="Aptos" w:cs="Times New Roman"/>
                <w:lang w:eastAsia="en-GB"/>
              </w:rPr>
              <w:t>March 202</w:t>
            </w:r>
            <w:r w:rsidR="00BD5EBE">
              <w:rPr>
                <w:rFonts w:ascii="Aptos" w:eastAsia="Times New Roman" w:hAnsi="Aptos" w:cs="Times New Roman"/>
                <w:lang w:eastAsia="en-GB"/>
              </w:rPr>
              <w:t>5</w:t>
            </w:r>
          </w:p>
        </w:tc>
        <w:tc>
          <w:tcPr>
            <w:tcW w:w="1134" w:type="dxa"/>
            <w:tcBorders>
              <w:top w:val="nil"/>
              <w:left w:val="nil"/>
              <w:bottom w:val="nil"/>
              <w:right w:val="nil"/>
            </w:tcBorders>
            <w:noWrap/>
            <w:vAlign w:val="bottom"/>
            <w:hideMark/>
          </w:tcPr>
          <w:p w14:paraId="3CF6BF3E" w14:textId="1E10115F" w:rsidR="001845EA" w:rsidRPr="001845EA" w:rsidRDefault="00BD5EBE" w:rsidP="002D39BD">
            <w:pPr>
              <w:spacing w:after="0" w:line="240" w:lineRule="auto"/>
              <w:rPr>
                <w:rFonts w:ascii="Aptos" w:eastAsia="Times New Roman" w:hAnsi="Aptos" w:cs="Times New Roman"/>
                <w:lang w:eastAsia="en-GB"/>
              </w:rPr>
            </w:pPr>
            <w:r>
              <w:rPr>
                <w:rFonts w:ascii="Aptos" w:eastAsia="Times New Roman" w:hAnsi="Aptos" w:cs="Times New Roman"/>
                <w:lang w:eastAsia="en-GB"/>
              </w:rPr>
              <w:t xml:space="preserve">     </w:t>
            </w:r>
            <w:r w:rsidR="002D39BD">
              <w:rPr>
                <w:rFonts w:ascii="Aptos" w:eastAsia="Times New Roman" w:hAnsi="Aptos" w:cs="Times New Roman"/>
                <w:lang w:eastAsia="en-GB"/>
              </w:rPr>
              <w:t>30.5</w:t>
            </w:r>
            <w:r w:rsidR="001845EA" w:rsidRPr="001845EA">
              <w:rPr>
                <w:rFonts w:ascii="Aptos" w:eastAsia="Times New Roman" w:hAnsi="Aptos" w:cs="Times New Roman"/>
                <w:lang w:eastAsia="en-GB"/>
              </w:rPr>
              <w:t>%</w:t>
            </w:r>
          </w:p>
        </w:tc>
        <w:tc>
          <w:tcPr>
            <w:tcW w:w="4120" w:type="dxa"/>
            <w:tcBorders>
              <w:top w:val="nil"/>
              <w:left w:val="nil"/>
              <w:bottom w:val="nil"/>
              <w:right w:val="nil"/>
            </w:tcBorders>
            <w:noWrap/>
            <w:vAlign w:val="bottom"/>
            <w:hideMark/>
          </w:tcPr>
          <w:p w14:paraId="61137CDF" w14:textId="1EA08818" w:rsidR="001845EA" w:rsidRPr="001845EA" w:rsidRDefault="001845EA" w:rsidP="001845EA">
            <w:pPr>
              <w:spacing w:after="0" w:line="240" w:lineRule="auto"/>
              <w:rPr>
                <w:rFonts w:ascii="Aptos" w:eastAsia="Times New Roman" w:hAnsi="Aptos" w:cs="Times New Roman"/>
                <w:lang w:eastAsia="en-GB"/>
              </w:rPr>
            </w:pPr>
          </w:p>
        </w:tc>
      </w:tr>
    </w:tbl>
    <w:p w14:paraId="29B69170" w14:textId="77777777" w:rsidR="008A587F" w:rsidRPr="004B01F3" w:rsidRDefault="008A587F" w:rsidP="008A587F">
      <w:pPr>
        <w:pStyle w:val="Heading3"/>
        <w:spacing w:before="281" w:after="281"/>
        <w:rPr>
          <w:rFonts w:ascii="Aptos" w:hAnsi="Aptos"/>
          <w:color w:val="auto"/>
          <w:sz w:val="22"/>
          <w:szCs w:val="22"/>
        </w:rPr>
      </w:pPr>
      <w:r w:rsidRPr="004B01F3">
        <w:rPr>
          <w:rFonts w:ascii="Aptos" w:hAnsi="Aptos"/>
          <w:b/>
          <w:bCs/>
          <w:color w:val="auto"/>
          <w:sz w:val="22"/>
          <w:szCs w:val="22"/>
        </w:rPr>
        <w:t>Young Person’s Rate</w:t>
      </w:r>
    </w:p>
    <w:p w14:paraId="47A98FD3" w14:textId="2EF72CEC" w:rsidR="00484AC1" w:rsidRDefault="00484AC1" w:rsidP="008A587F">
      <w:pPr>
        <w:spacing w:before="240" w:after="240"/>
        <w:rPr>
          <w:rFonts w:ascii="Aptos" w:hAnsi="Aptos"/>
        </w:rPr>
      </w:pPr>
      <w:r>
        <w:rPr>
          <w:rFonts w:ascii="Aptos" w:hAnsi="Aptos"/>
        </w:rPr>
        <w:t>The States’ accepted position is that the young person’s minimum wage should be 90% of the adult rate. Any proposal to equalise the young person’s rate with the adult rate is not an accepted policy position. It is also a position that the GRG cannot back.</w:t>
      </w:r>
    </w:p>
    <w:p w14:paraId="5BF62F3B" w14:textId="35E64DC3" w:rsidR="008A587F" w:rsidRDefault="008A587F" w:rsidP="008A587F">
      <w:pPr>
        <w:spacing w:before="240" w:after="240"/>
        <w:rPr>
          <w:rFonts w:ascii="Aptos" w:hAnsi="Aptos"/>
        </w:rPr>
      </w:pPr>
      <w:r w:rsidRPr="004B01F3">
        <w:rPr>
          <w:rFonts w:ascii="Aptos" w:hAnsi="Aptos"/>
        </w:rPr>
        <w:t>Retail employs a significant proportion of young workers due to its flexible working hours</w:t>
      </w:r>
      <w:r>
        <w:rPr>
          <w:rFonts w:ascii="Aptos" w:hAnsi="Aptos"/>
        </w:rPr>
        <w:t xml:space="preserve"> and shift availability </w:t>
      </w:r>
      <w:r w:rsidRPr="004B01F3">
        <w:rPr>
          <w:rFonts w:ascii="Aptos" w:hAnsi="Aptos"/>
        </w:rPr>
        <w:t>(e.g., between 7 am and 9 pm, seven days a week).</w:t>
      </w:r>
      <w:r>
        <w:rPr>
          <w:rFonts w:ascii="Aptos" w:hAnsi="Aptos"/>
        </w:rPr>
        <w:t xml:space="preserve"> Due to the nature of part time roles within </w:t>
      </w:r>
      <w:r w:rsidR="009727D2">
        <w:rPr>
          <w:rFonts w:ascii="Aptos" w:hAnsi="Aptos"/>
        </w:rPr>
        <w:t>retail,</w:t>
      </w:r>
      <w:r>
        <w:rPr>
          <w:rFonts w:ascii="Aptos" w:hAnsi="Aptos"/>
        </w:rPr>
        <w:t xml:space="preserve"> it is very likely that the young person’s rate effects retail employers more than other sectors.</w:t>
      </w:r>
    </w:p>
    <w:p w14:paraId="493C1A44" w14:textId="5BDE37FB" w:rsidR="008A587F" w:rsidRPr="009727D2" w:rsidRDefault="008A587F" w:rsidP="009727D2">
      <w:pPr>
        <w:spacing w:before="240" w:after="240"/>
        <w:rPr>
          <w:rFonts w:ascii="Aptos" w:hAnsi="Aptos"/>
        </w:rPr>
      </w:pPr>
      <w:r w:rsidRPr="004B01F3">
        <w:rPr>
          <w:rFonts w:ascii="Aptos" w:hAnsi="Aptos"/>
        </w:rPr>
        <w:t xml:space="preserve">Many of these young employees work only a few hours per week, primarily for pocket money and work experience. </w:t>
      </w:r>
      <w:r>
        <w:rPr>
          <w:rFonts w:ascii="Aptos" w:hAnsi="Aptos"/>
        </w:rPr>
        <w:t xml:space="preserve"> </w:t>
      </w:r>
      <w:r w:rsidRPr="004B01F3">
        <w:rPr>
          <w:rFonts w:ascii="Aptos" w:hAnsi="Aptos"/>
        </w:rPr>
        <w:t xml:space="preserve">They often lack the experience to justify earning </w:t>
      </w:r>
      <w:r>
        <w:rPr>
          <w:rFonts w:ascii="Aptos" w:hAnsi="Aptos"/>
        </w:rPr>
        <w:t xml:space="preserve">the same hourly rate as </w:t>
      </w:r>
      <w:r w:rsidRPr="004B01F3">
        <w:rPr>
          <w:rFonts w:ascii="Aptos" w:hAnsi="Aptos"/>
        </w:rPr>
        <w:t>adult w</w:t>
      </w:r>
      <w:r>
        <w:rPr>
          <w:rFonts w:ascii="Aptos" w:hAnsi="Aptos"/>
        </w:rPr>
        <w:t xml:space="preserve">orkers. </w:t>
      </w:r>
      <w:r w:rsidRPr="004B01F3">
        <w:rPr>
          <w:rFonts w:ascii="Aptos" w:hAnsi="Aptos"/>
        </w:rPr>
        <w:t>Those who demonstrate greater competency should indeed be rewarded accordingly</w:t>
      </w:r>
      <w:r>
        <w:rPr>
          <w:rFonts w:ascii="Aptos" w:hAnsi="Aptos"/>
        </w:rPr>
        <w:t xml:space="preserve">, if they are not, they will seek employment elsewhere, that is their right. This is also a tool used by businesses to recruit, retain, and reward high performing staff of all ages and experience.  </w:t>
      </w:r>
    </w:p>
    <w:p w14:paraId="4D5DBA69" w14:textId="6649CDE2" w:rsidR="63980DAE" w:rsidRPr="004B01F3" w:rsidRDefault="63980DAE" w:rsidP="77D96E7E">
      <w:pPr>
        <w:pStyle w:val="Heading3"/>
        <w:spacing w:before="281" w:after="281"/>
        <w:rPr>
          <w:rFonts w:ascii="Aptos" w:hAnsi="Aptos"/>
          <w:color w:val="auto"/>
          <w:sz w:val="22"/>
          <w:szCs w:val="22"/>
        </w:rPr>
      </w:pPr>
      <w:r w:rsidRPr="004B01F3">
        <w:rPr>
          <w:rFonts w:ascii="Aptos" w:hAnsi="Aptos"/>
          <w:b/>
          <w:bCs/>
          <w:color w:val="auto"/>
          <w:sz w:val="22"/>
          <w:szCs w:val="22"/>
        </w:rPr>
        <w:t>Comparison with Jersey</w:t>
      </w:r>
    </w:p>
    <w:p w14:paraId="02E39C93" w14:textId="324E01FD" w:rsidR="005721FA" w:rsidRDefault="005721FA" w:rsidP="77D96E7E">
      <w:pPr>
        <w:spacing w:before="240" w:after="240"/>
        <w:rPr>
          <w:rFonts w:ascii="Aptos" w:hAnsi="Aptos"/>
        </w:rPr>
      </w:pPr>
      <w:r>
        <w:rPr>
          <w:rFonts w:ascii="Aptos" w:hAnsi="Aptos"/>
        </w:rPr>
        <w:t xml:space="preserve">The GRG is again concerned about ongoing comparisons between </w:t>
      </w:r>
      <w:r w:rsidR="00877148">
        <w:rPr>
          <w:rFonts w:ascii="Aptos" w:hAnsi="Aptos"/>
        </w:rPr>
        <w:t>Guernsey</w:t>
      </w:r>
      <w:r>
        <w:rPr>
          <w:rFonts w:ascii="Aptos" w:hAnsi="Aptos"/>
        </w:rPr>
        <w:t xml:space="preserve"> and Jersey</w:t>
      </w:r>
      <w:r w:rsidR="00877148">
        <w:rPr>
          <w:rFonts w:ascii="Aptos" w:hAnsi="Aptos"/>
        </w:rPr>
        <w:t xml:space="preserve">’s </w:t>
      </w:r>
      <w:r w:rsidR="008A6F63">
        <w:rPr>
          <w:rFonts w:ascii="Aptos" w:hAnsi="Aptos"/>
        </w:rPr>
        <w:t>minimum wages</w:t>
      </w:r>
      <w:r w:rsidR="001253B1">
        <w:rPr>
          <w:rFonts w:ascii="Aptos" w:hAnsi="Aptos"/>
        </w:rPr>
        <w:t xml:space="preserve"> as the two island’s </w:t>
      </w:r>
      <w:r w:rsidR="00877148">
        <w:rPr>
          <w:rFonts w:ascii="Aptos" w:hAnsi="Aptos"/>
        </w:rPr>
        <w:t>r</w:t>
      </w:r>
      <w:r w:rsidR="00996104">
        <w:rPr>
          <w:rFonts w:ascii="Aptos" w:hAnsi="Aptos"/>
        </w:rPr>
        <w:t>e</w:t>
      </w:r>
      <w:r>
        <w:rPr>
          <w:rFonts w:ascii="Aptos" w:hAnsi="Aptos"/>
        </w:rPr>
        <w:t>cruitment markets</w:t>
      </w:r>
      <w:r w:rsidR="001253B1">
        <w:rPr>
          <w:rFonts w:ascii="Aptos" w:hAnsi="Aptos"/>
        </w:rPr>
        <w:t xml:space="preserve"> differ</w:t>
      </w:r>
      <w:r>
        <w:rPr>
          <w:rFonts w:ascii="Aptos" w:hAnsi="Aptos"/>
        </w:rPr>
        <w:t>, especially in retail as our area of expertise.</w:t>
      </w:r>
    </w:p>
    <w:p w14:paraId="44E5D306" w14:textId="3383F62A" w:rsidR="00996104" w:rsidRDefault="00166C0F" w:rsidP="77D96E7E">
      <w:pPr>
        <w:spacing w:before="240" w:after="240"/>
        <w:rPr>
          <w:rFonts w:ascii="Aptos" w:hAnsi="Aptos"/>
        </w:rPr>
      </w:pPr>
      <w:r>
        <w:rPr>
          <w:rFonts w:ascii="Aptos" w:hAnsi="Aptos"/>
        </w:rPr>
        <w:t xml:space="preserve">As per </w:t>
      </w:r>
      <w:r w:rsidR="00885B4E">
        <w:rPr>
          <w:rFonts w:ascii="Aptos" w:hAnsi="Aptos"/>
        </w:rPr>
        <w:t xml:space="preserve">our letter of comment </w:t>
      </w:r>
      <w:r>
        <w:rPr>
          <w:rFonts w:ascii="Aptos" w:hAnsi="Aptos"/>
        </w:rPr>
        <w:t xml:space="preserve">last year, </w:t>
      </w:r>
      <w:r w:rsidR="00885B4E">
        <w:rPr>
          <w:rFonts w:ascii="Aptos" w:hAnsi="Aptos"/>
        </w:rPr>
        <w:t>re</w:t>
      </w:r>
      <w:r w:rsidR="00996104">
        <w:rPr>
          <w:rFonts w:ascii="Aptos" w:hAnsi="Aptos"/>
        </w:rPr>
        <w:t xml:space="preserve">tail recruitment is broadly from within the </w:t>
      </w:r>
      <w:r w:rsidR="00F335D3">
        <w:rPr>
          <w:rFonts w:ascii="Aptos" w:hAnsi="Aptos"/>
        </w:rPr>
        <w:t xml:space="preserve">Guernsey </w:t>
      </w:r>
      <w:r w:rsidR="00996104">
        <w:rPr>
          <w:rFonts w:ascii="Aptos" w:hAnsi="Aptos"/>
        </w:rPr>
        <w:t xml:space="preserve">population, hence comparing to Jersey </w:t>
      </w:r>
      <w:r w:rsidR="00A11565">
        <w:rPr>
          <w:rFonts w:ascii="Aptos" w:hAnsi="Aptos"/>
        </w:rPr>
        <w:t xml:space="preserve">and trying to be aligned in </w:t>
      </w:r>
      <w:r w:rsidR="00877148">
        <w:rPr>
          <w:rFonts w:ascii="Aptos" w:hAnsi="Aptos"/>
        </w:rPr>
        <w:t>some way</w:t>
      </w:r>
      <w:r w:rsidR="00A11565">
        <w:rPr>
          <w:rFonts w:ascii="Aptos" w:hAnsi="Aptos"/>
        </w:rPr>
        <w:t xml:space="preserve"> </w:t>
      </w:r>
      <w:r w:rsidR="00996104">
        <w:rPr>
          <w:rFonts w:ascii="Aptos" w:hAnsi="Aptos"/>
        </w:rPr>
        <w:t xml:space="preserve">is not relevant </w:t>
      </w:r>
      <w:r w:rsidR="00A11565">
        <w:rPr>
          <w:rFonts w:ascii="Aptos" w:hAnsi="Aptos"/>
        </w:rPr>
        <w:t xml:space="preserve">– we are recruiting from different labour markets. </w:t>
      </w:r>
    </w:p>
    <w:p w14:paraId="201FCE8F" w14:textId="58F22E6E" w:rsidR="001B50C9" w:rsidRDefault="009D66D0" w:rsidP="77D96E7E">
      <w:pPr>
        <w:spacing w:before="240" w:after="240"/>
        <w:rPr>
          <w:rFonts w:ascii="Aptos" w:hAnsi="Aptos"/>
        </w:rPr>
      </w:pPr>
      <w:r>
        <w:rPr>
          <w:rFonts w:ascii="Aptos" w:hAnsi="Aptos"/>
        </w:rPr>
        <w:t>When comparing to other jurisdictions i</w:t>
      </w:r>
      <w:r w:rsidR="63980DAE" w:rsidRPr="004B01F3">
        <w:rPr>
          <w:rFonts w:ascii="Aptos" w:hAnsi="Aptos"/>
        </w:rPr>
        <w:t>t</w:t>
      </w:r>
      <w:r w:rsidR="00877148">
        <w:rPr>
          <w:rFonts w:ascii="Aptos" w:hAnsi="Aptos"/>
        </w:rPr>
        <w:t xml:space="preserve"> also</w:t>
      </w:r>
      <w:r w:rsidR="63980DAE" w:rsidRPr="004B01F3">
        <w:rPr>
          <w:rFonts w:ascii="Aptos" w:hAnsi="Aptos"/>
        </w:rPr>
        <w:t xml:space="preserve"> </w:t>
      </w:r>
      <w:r w:rsidR="00A9120E">
        <w:rPr>
          <w:rFonts w:ascii="Aptos" w:hAnsi="Aptos"/>
        </w:rPr>
        <w:t xml:space="preserve">remains </w:t>
      </w:r>
      <w:r w:rsidR="63980DAE" w:rsidRPr="004B01F3">
        <w:rPr>
          <w:rFonts w:ascii="Aptos" w:hAnsi="Aptos"/>
        </w:rPr>
        <w:t xml:space="preserve">important to acknowledge that Jersey has a Goods and Services Tax </w:t>
      </w:r>
      <w:r>
        <w:rPr>
          <w:rFonts w:ascii="Aptos" w:hAnsi="Aptos"/>
        </w:rPr>
        <w:t>and the UK and IoM</w:t>
      </w:r>
      <w:r w:rsidR="001F25D7">
        <w:rPr>
          <w:rFonts w:ascii="Aptos" w:hAnsi="Aptos"/>
        </w:rPr>
        <w:t xml:space="preserve"> have VAT</w:t>
      </w:r>
      <w:r w:rsidR="63980DAE" w:rsidRPr="004B01F3">
        <w:rPr>
          <w:rFonts w:ascii="Aptos" w:hAnsi="Aptos"/>
        </w:rPr>
        <w:t xml:space="preserve">, </w:t>
      </w:r>
      <w:r w:rsidR="001F25D7">
        <w:rPr>
          <w:rFonts w:ascii="Aptos" w:hAnsi="Aptos"/>
        </w:rPr>
        <w:t xml:space="preserve">these taxes </w:t>
      </w:r>
      <w:r w:rsidR="63980DAE" w:rsidRPr="004B01F3">
        <w:rPr>
          <w:rFonts w:ascii="Aptos" w:hAnsi="Aptos"/>
        </w:rPr>
        <w:t xml:space="preserve">affect both business costs and consumer prices. Given this, it is reasonable to expect that Guernsey’s minimum wage should be set at a </w:t>
      </w:r>
      <w:r w:rsidR="00797A24">
        <w:rPr>
          <w:rFonts w:ascii="Aptos" w:hAnsi="Aptos"/>
        </w:rPr>
        <w:t xml:space="preserve">lower </w:t>
      </w:r>
      <w:r w:rsidR="63980DAE" w:rsidRPr="004B01F3">
        <w:rPr>
          <w:rFonts w:ascii="Aptos" w:hAnsi="Aptos"/>
        </w:rPr>
        <w:t>level that reflects this differenc</w:t>
      </w:r>
      <w:r w:rsidR="005C41F9">
        <w:rPr>
          <w:rFonts w:ascii="Aptos" w:hAnsi="Aptos"/>
        </w:rPr>
        <w:t>e</w:t>
      </w:r>
      <w:r w:rsidR="00A9120E">
        <w:rPr>
          <w:rFonts w:ascii="Aptos" w:hAnsi="Aptos"/>
        </w:rPr>
        <w:t xml:space="preserve"> as GST+ has not yet been </w:t>
      </w:r>
      <w:r w:rsidR="00E609F8">
        <w:rPr>
          <w:rFonts w:ascii="Aptos" w:hAnsi="Aptos"/>
        </w:rPr>
        <w:t>introduced</w:t>
      </w:r>
      <w:r w:rsidR="00A9120E">
        <w:rPr>
          <w:rFonts w:ascii="Aptos" w:hAnsi="Aptos"/>
        </w:rPr>
        <w:t xml:space="preserve">, and if it is approved </w:t>
      </w:r>
      <w:r w:rsidR="00E609F8">
        <w:rPr>
          <w:rFonts w:ascii="Aptos" w:hAnsi="Aptos"/>
        </w:rPr>
        <w:t xml:space="preserve">this </w:t>
      </w:r>
      <w:r w:rsidR="00620505">
        <w:rPr>
          <w:rFonts w:ascii="Aptos" w:hAnsi="Aptos"/>
        </w:rPr>
        <w:t>summer,</w:t>
      </w:r>
      <w:r w:rsidR="00E609F8">
        <w:rPr>
          <w:rFonts w:ascii="Aptos" w:hAnsi="Aptos"/>
        </w:rPr>
        <w:t xml:space="preserve"> </w:t>
      </w:r>
      <w:r w:rsidR="00A9120E">
        <w:rPr>
          <w:rFonts w:ascii="Aptos" w:hAnsi="Aptos"/>
        </w:rPr>
        <w:t xml:space="preserve">it will not be introduced </w:t>
      </w:r>
      <w:r w:rsidR="001B50C9">
        <w:rPr>
          <w:rFonts w:ascii="Aptos" w:hAnsi="Aptos"/>
        </w:rPr>
        <w:t>until 2028.</w:t>
      </w:r>
    </w:p>
    <w:p w14:paraId="19353766" w14:textId="3224330D" w:rsidR="003346F0" w:rsidRDefault="001B50C9" w:rsidP="009A3DD0">
      <w:pPr>
        <w:spacing w:before="240" w:after="240"/>
        <w:rPr>
          <w:rFonts w:ascii="Aptos" w:hAnsi="Aptos"/>
        </w:rPr>
      </w:pPr>
      <w:r>
        <w:rPr>
          <w:rFonts w:ascii="Aptos" w:hAnsi="Aptos"/>
        </w:rPr>
        <w:t xml:space="preserve">Guernsey is also still the only sector </w:t>
      </w:r>
      <w:r w:rsidR="005B7372">
        <w:rPr>
          <w:rFonts w:ascii="Aptos" w:hAnsi="Aptos"/>
        </w:rPr>
        <w:t xml:space="preserve">out of the Crown Dependencies </w:t>
      </w:r>
      <w:r w:rsidR="00F1777D">
        <w:rPr>
          <w:rFonts w:ascii="Aptos" w:hAnsi="Aptos"/>
        </w:rPr>
        <w:t>which has a mandatory secondary pension</w:t>
      </w:r>
      <w:r w:rsidR="009A3DD0">
        <w:rPr>
          <w:rFonts w:ascii="Aptos" w:hAnsi="Aptos"/>
        </w:rPr>
        <w:t xml:space="preserve"> scheme. </w:t>
      </w:r>
      <w:r w:rsidR="003346F0">
        <w:rPr>
          <w:rFonts w:ascii="Aptos" w:hAnsi="Aptos"/>
        </w:rPr>
        <w:t xml:space="preserve">Whilst the </w:t>
      </w:r>
      <w:r w:rsidR="009A3DD0">
        <w:rPr>
          <w:rFonts w:ascii="Aptos" w:hAnsi="Aptos"/>
        </w:rPr>
        <w:t xml:space="preserve">GRG supports the </w:t>
      </w:r>
      <w:r w:rsidR="003346F0">
        <w:rPr>
          <w:rFonts w:ascii="Aptos" w:hAnsi="Aptos"/>
        </w:rPr>
        <w:t xml:space="preserve">secondary </w:t>
      </w:r>
      <w:r w:rsidR="00E1676F">
        <w:rPr>
          <w:rFonts w:ascii="Aptos" w:hAnsi="Aptos"/>
        </w:rPr>
        <w:t>pension scheme</w:t>
      </w:r>
      <w:r w:rsidR="003346F0">
        <w:rPr>
          <w:rFonts w:ascii="Aptos" w:hAnsi="Aptos"/>
        </w:rPr>
        <w:t xml:space="preserve"> </w:t>
      </w:r>
      <w:r w:rsidR="000E059A">
        <w:rPr>
          <w:rFonts w:ascii="Aptos" w:hAnsi="Aptos"/>
        </w:rPr>
        <w:t xml:space="preserve">as </w:t>
      </w:r>
      <w:r w:rsidR="003346F0">
        <w:rPr>
          <w:rFonts w:ascii="Aptos" w:hAnsi="Aptos"/>
        </w:rPr>
        <w:t xml:space="preserve">a positive initiative it is nonetheless a business cost and extra benefit to </w:t>
      </w:r>
      <w:r w:rsidR="005C41F9">
        <w:rPr>
          <w:rFonts w:ascii="Aptos" w:hAnsi="Aptos"/>
        </w:rPr>
        <w:t>t</w:t>
      </w:r>
      <w:r w:rsidR="003346F0">
        <w:rPr>
          <w:rFonts w:ascii="Aptos" w:hAnsi="Aptos"/>
        </w:rPr>
        <w:t xml:space="preserve">he employee that is outside of the scope of </w:t>
      </w:r>
      <w:r w:rsidR="00E1676F">
        <w:rPr>
          <w:rFonts w:ascii="Aptos" w:hAnsi="Aptos"/>
        </w:rPr>
        <w:t>minimum</w:t>
      </w:r>
      <w:r w:rsidR="003346F0">
        <w:rPr>
          <w:rFonts w:ascii="Aptos" w:hAnsi="Aptos"/>
        </w:rPr>
        <w:t xml:space="preserve"> wage. </w:t>
      </w:r>
      <w:r w:rsidR="00F335D3">
        <w:rPr>
          <w:rFonts w:ascii="Aptos" w:hAnsi="Aptos"/>
        </w:rPr>
        <w:t xml:space="preserve"> </w:t>
      </w:r>
    </w:p>
    <w:p w14:paraId="30CD41C2" w14:textId="117611CD" w:rsidR="00A61287" w:rsidRDefault="000E059A" w:rsidP="003346F0">
      <w:pPr>
        <w:spacing w:before="240" w:after="240"/>
        <w:rPr>
          <w:rFonts w:ascii="Aptos" w:hAnsi="Aptos"/>
        </w:rPr>
      </w:pPr>
      <w:r>
        <w:rPr>
          <w:rFonts w:ascii="Aptos" w:hAnsi="Aptos"/>
        </w:rPr>
        <w:lastRenderedPageBreak/>
        <w:t>When/i</w:t>
      </w:r>
      <w:r w:rsidR="009A3DD0">
        <w:rPr>
          <w:rFonts w:ascii="Aptos" w:hAnsi="Aptos"/>
        </w:rPr>
        <w:t xml:space="preserve">f GST+ is introduced in Guernsey, the social security contributions component is </w:t>
      </w:r>
      <w:r w:rsidR="00D45ECE">
        <w:rPr>
          <w:rFonts w:ascii="Aptos" w:hAnsi="Aptos"/>
        </w:rPr>
        <w:t>subject to change after challenge from the Chamber of Commerce, and as this will also impact employers and business costs it should be a consideration when setting the minimum wage.</w:t>
      </w:r>
    </w:p>
    <w:p w14:paraId="7D2D151B" w14:textId="15B926AA" w:rsidR="008E7215" w:rsidRPr="003C6CDF" w:rsidRDefault="63980DAE" w:rsidP="003C6CDF">
      <w:pPr>
        <w:pStyle w:val="Heading3"/>
        <w:spacing w:before="281" w:after="281"/>
        <w:rPr>
          <w:rFonts w:ascii="Aptos" w:hAnsi="Aptos"/>
          <w:b/>
          <w:bCs/>
          <w:color w:val="auto"/>
          <w:sz w:val="22"/>
          <w:szCs w:val="22"/>
        </w:rPr>
      </w:pPr>
      <w:r w:rsidRPr="004B01F3">
        <w:rPr>
          <w:rFonts w:ascii="Aptos" w:hAnsi="Aptos"/>
          <w:b/>
          <w:bCs/>
          <w:color w:val="auto"/>
          <w:sz w:val="22"/>
          <w:szCs w:val="22"/>
        </w:rPr>
        <w:t>Additional Employer Costs</w:t>
      </w:r>
    </w:p>
    <w:p w14:paraId="650693FD" w14:textId="77777777" w:rsidR="009D284E" w:rsidRDefault="003C6CDF" w:rsidP="77D96E7E">
      <w:pPr>
        <w:spacing w:before="240" w:after="240"/>
        <w:rPr>
          <w:rFonts w:ascii="Aptos" w:hAnsi="Aptos"/>
        </w:rPr>
      </w:pPr>
      <w:r>
        <w:rPr>
          <w:rFonts w:ascii="Aptos" w:hAnsi="Aptos"/>
        </w:rPr>
        <w:t xml:space="preserve">While there appears to still have been </w:t>
      </w:r>
      <w:r w:rsidR="63980DAE" w:rsidRPr="004B01F3">
        <w:rPr>
          <w:rFonts w:ascii="Aptos" w:hAnsi="Aptos"/>
        </w:rPr>
        <w:t xml:space="preserve">no consideration of secondary pension costs </w:t>
      </w:r>
      <w:r w:rsidR="00AE7DFB">
        <w:rPr>
          <w:rFonts w:ascii="Aptos" w:hAnsi="Aptos"/>
        </w:rPr>
        <w:t xml:space="preserve">to employers, the </w:t>
      </w:r>
      <w:r w:rsidR="63980DAE" w:rsidRPr="004B01F3">
        <w:rPr>
          <w:rFonts w:ascii="Aptos" w:hAnsi="Aptos"/>
        </w:rPr>
        <w:t>total employment package offered by retailers</w:t>
      </w:r>
      <w:r w:rsidR="00D55D7F">
        <w:rPr>
          <w:rFonts w:ascii="Aptos" w:hAnsi="Aptos"/>
        </w:rPr>
        <w:t xml:space="preserve"> (and indeed other employers)</w:t>
      </w:r>
      <w:r w:rsidR="00AE7DFB">
        <w:rPr>
          <w:rFonts w:ascii="Aptos" w:hAnsi="Aptos"/>
        </w:rPr>
        <w:t xml:space="preserve"> has also not been considered</w:t>
      </w:r>
      <w:r w:rsidR="63980DAE" w:rsidRPr="004B01F3">
        <w:rPr>
          <w:rFonts w:ascii="Aptos" w:hAnsi="Aptos"/>
        </w:rPr>
        <w:t xml:space="preserve">. </w:t>
      </w:r>
    </w:p>
    <w:p w14:paraId="54227A30" w14:textId="7E3BA156" w:rsidR="63980DAE" w:rsidRPr="004B01F3" w:rsidRDefault="63980DAE" w:rsidP="77D96E7E">
      <w:pPr>
        <w:spacing w:before="240" w:after="240"/>
        <w:rPr>
          <w:rFonts w:ascii="Aptos" w:hAnsi="Aptos"/>
        </w:rPr>
      </w:pPr>
      <w:r w:rsidRPr="004B01F3">
        <w:rPr>
          <w:rFonts w:ascii="Aptos" w:hAnsi="Aptos"/>
        </w:rPr>
        <w:t xml:space="preserve">Many employers </w:t>
      </w:r>
      <w:r w:rsidR="009D284E">
        <w:rPr>
          <w:rFonts w:ascii="Aptos" w:hAnsi="Aptos"/>
        </w:rPr>
        <w:t xml:space="preserve">within the retail sector </w:t>
      </w:r>
      <w:r w:rsidRPr="004B01F3">
        <w:rPr>
          <w:rFonts w:ascii="Aptos" w:hAnsi="Aptos"/>
        </w:rPr>
        <w:t xml:space="preserve">provide additional benefits, including staff discounts and healthcare, which contribute to employees’ overall compensation. While accommodation and food are </w:t>
      </w:r>
      <w:r w:rsidR="00406259">
        <w:rPr>
          <w:rFonts w:ascii="Aptos" w:hAnsi="Aptos"/>
        </w:rPr>
        <w:t xml:space="preserve">rightly </w:t>
      </w:r>
      <w:r w:rsidRPr="004B01F3">
        <w:rPr>
          <w:rFonts w:ascii="Aptos" w:hAnsi="Aptos"/>
        </w:rPr>
        <w:t>acknowledged in wage considerations, other important elements of employee remuneration appear to be overlooked.</w:t>
      </w:r>
    </w:p>
    <w:p w14:paraId="5E419F0B" w14:textId="4F4F7EC7" w:rsidR="63980DAE" w:rsidRPr="004B01F3" w:rsidRDefault="00160EBF" w:rsidP="77D96E7E">
      <w:pPr>
        <w:pStyle w:val="Heading3"/>
        <w:spacing w:before="281" w:after="281"/>
        <w:rPr>
          <w:rFonts w:ascii="Aptos" w:hAnsi="Aptos"/>
          <w:color w:val="auto"/>
          <w:sz w:val="22"/>
          <w:szCs w:val="22"/>
        </w:rPr>
      </w:pPr>
      <w:r>
        <w:rPr>
          <w:rFonts w:ascii="Aptos" w:hAnsi="Aptos"/>
          <w:b/>
          <w:bCs/>
          <w:color w:val="auto"/>
          <w:sz w:val="22"/>
          <w:szCs w:val="22"/>
        </w:rPr>
        <w:t>Retail c</w:t>
      </w:r>
      <w:r w:rsidR="63980DAE" w:rsidRPr="004B01F3">
        <w:rPr>
          <w:rFonts w:ascii="Aptos" w:hAnsi="Aptos"/>
          <w:b/>
          <w:bCs/>
          <w:color w:val="auto"/>
          <w:sz w:val="22"/>
          <w:szCs w:val="22"/>
        </w:rPr>
        <w:t xml:space="preserve">hallenges in </w:t>
      </w:r>
      <w:r>
        <w:rPr>
          <w:rFonts w:ascii="Aptos" w:hAnsi="Aptos"/>
          <w:b/>
          <w:bCs/>
          <w:color w:val="auto"/>
          <w:sz w:val="22"/>
          <w:szCs w:val="22"/>
        </w:rPr>
        <w:t>g</w:t>
      </w:r>
      <w:r w:rsidR="63980DAE" w:rsidRPr="004B01F3">
        <w:rPr>
          <w:rFonts w:ascii="Aptos" w:hAnsi="Aptos"/>
          <w:b/>
          <w:bCs/>
          <w:color w:val="auto"/>
          <w:sz w:val="22"/>
          <w:szCs w:val="22"/>
        </w:rPr>
        <w:t xml:space="preserve">rowing </w:t>
      </w:r>
      <w:r>
        <w:rPr>
          <w:rFonts w:ascii="Aptos" w:hAnsi="Aptos"/>
          <w:b/>
          <w:bCs/>
          <w:color w:val="auto"/>
          <w:sz w:val="22"/>
          <w:szCs w:val="22"/>
        </w:rPr>
        <w:t>s</w:t>
      </w:r>
      <w:r w:rsidR="63980DAE" w:rsidRPr="004B01F3">
        <w:rPr>
          <w:rFonts w:ascii="Aptos" w:hAnsi="Aptos"/>
          <w:b/>
          <w:bCs/>
          <w:color w:val="auto"/>
          <w:sz w:val="22"/>
          <w:szCs w:val="22"/>
        </w:rPr>
        <w:t xml:space="preserve">ales and </w:t>
      </w:r>
      <w:r>
        <w:rPr>
          <w:rFonts w:ascii="Aptos" w:hAnsi="Aptos"/>
          <w:b/>
          <w:bCs/>
          <w:color w:val="auto"/>
          <w:sz w:val="22"/>
          <w:szCs w:val="22"/>
        </w:rPr>
        <w:t>p</w:t>
      </w:r>
      <w:r w:rsidR="63980DAE" w:rsidRPr="004B01F3">
        <w:rPr>
          <w:rFonts w:ascii="Aptos" w:hAnsi="Aptos"/>
          <w:b/>
          <w:bCs/>
          <w:color w:val="auto"/>
          <w:sz w:val="22"/>
          <w:szCs w:val="22"/>
        </w:rPr>
        <w:t xml:space="preserve">rofit </w:t>
      </w:r>
      <w:r>
        <w:rPr>
          <w:rFonts w:ascii="Aptos" w:hAnsi="Aptos"/>
          <w:b/>
          <w:bCs/>
          <w:color w:val="auto"/>
          <w:sz w:val="22"/>
          <w:szCs w:val="22"/>
        </w:rPr>
        <w:t>m</w:t>
      </w:r>
      <w:r w:rsidR="63980DAE" w:rsidRPr="004B01F3">
        <w:rPr>
          <w:rFonts w:ascii="Aptos" w:hAnsi="Aptos"/>
          <w:b/>
          <w:bCs/>
          <w:color w:val="auto"/>
          <w:sz w:val="22"/>
          <w:szCs w:val="22"/>
        </w:rPr>
        <w:t>argins</w:t>
      </w:r>
    </w:p>
    <w:p w14:paraId="348814FA" w14:textId="0FDA6425" w:rsidR="00406259" w:rsidRDefault="63980DAE" w:rsidP="77D96E7E">
      <w:pPr>
        <w:spacing w:before="240" w:after="240"/>
        <w:rPr>
          <w:rFonts w:ascii="Aptos" w:hAnsi="Aptos"/>
        </w:rPr>
      </w:pPr>
      <w:r w:rsidRPr="004B01F3">
        <w:rPr>
          <w:rFonts w:ascii="Aptos" w:hAnsi="Aptos"/>
        </w:rPr>
        <w:t xml:space="preserve">The retail sector </w:t>
      </w:r>
      <w:r w:rsidR="00406259">
        <w:rPr>
          <w:rFonts w:ascii="Aptos" w:hAnsi="Aptos"/>
        </w:rPr>
        <w:t xml:space="preserve">continues to </w:t>
      </w:r>
      <w:r w:rsidRPr="004B01F3">
        <w:rPr>
          <w:rFonts w:ascii="Aptos" w:hAnsi="Aptos"/>
        </w:rPr>
        <w:t xml:space="preserve">face significant challenges in growing sales and gross profit. </w:t>
      </w:r>
      <w:r w:rsidR="00222A8F">
        <w:rPr>
          <w:rFonts w:ascii="Aptos" w:hAnsi="Aptos"/>
        </w:rPr>
        <w:t xml:space="preserve">Perhaps unlike some </w:t>
      </w:r>
      <w:r w:rsidRPr="004B01F3">
        <w:rPr>
          <w:rFonts w:ascii="Aptos" w:hAnsi="Aptos"/>
        </w:rPr>
        <w:t xml:space="preserve">other </w:t>
      </w:r>
      <w:r w:rsidR="00A57A6B">
        <w:rPr>
          <w:rFonts w:ascii="Aptos" w:hAnsi="Aptos"/>
        </w:rPr>
        <w:t>sectors</w:t>
      </w:r>
      <w:r w:rsidRPr="004B01F3">
        <w:rPr>
          <w:rFonts w:ascii="Aptos" w:hAnsi="Aptos"/>
        </w:rPr>
        <w:t xml:space="preserve">, retailers cannot increase prices beyond an acceptable, </w:t>
      </w:r>
      <w:r w:rsidR="00A57A6B" w:rsidRPr="004B01F3">
        <w:rPr>
          <w:rFonts w:ascii="Aptos" w:hAnsi="Aptos"/>
        </w:rPr>
        <w:t>competitive</w:t>
      </w:r>
      <w:r w:rsidRPr="004B01F3">
        <w:rPr>
          <w:rFonts w:ascii="Aptos" w:hAnsi="Aptos"/>
        </w:rPr>
        <w:t xml:space="preserve"> limit due to the expectation of VAT-free pricing and the ease of online shopping. </w:t>
      </w:r>
      <w:r w:rsidR="00406259">
        <w:rPr>
          <w:rFonts w:ascii="Aptos" w:hAnsi="Aptos"/>
        </w:rPr>
        <w:t xml:space="preserve">This will be </w:t>
      </w:r>
      <w:r w:rsidR="008722C2">
        <w:rPr>
          <w:rFonts w:ascii="Aptos" w:hAnsi="Aptos"/>
        </w:rPr>
        <w:t>exacerbated</w:t>
      </w:r>
      <w:r w:rsidR="00406259">
        <w:rPr>
          <w:rFonts w:ascii="Aptos" w:hAnsi="Aptos"/>
        </w:rPr>
        <w:t xml:space="preserve"> if/when GST+ </w:t>
      </w:r>
      <w:r w:rsidR="008722C2">
        <w:rPr>
          <w:rFonts w:ascii="Aptos" w:hAnsi="Aptos"/>
        </w:rPr>
        <w:t>is</w:t>
      </w:r>
      <w:r w:rsidR="000E4625">
        <w:rPr>
          <w:rFonts w:ascii="Aptos" w:hAnsi="Aptos"/>
        </w:rPr>
        <w:t xml:space="preserve"> introduced and retailers </w:t>
      </w:r>
      <w:r w:rsidR="00F76839">
        <w:rPr>
          <w:rFonts w:ascii="Aptos" w:hAnsi="Aptos"/>
        </w:rPr>
        <w:t xml:space="preserve">will </w:t>
      </w:r>
      <w:r w:rsidR="000E4625">
        <w:rPr>
          <w:rFonts w:ascii="Aptos" w:hAnsi="Aptos"/>
        </w:rPr>
        <w:t xml:space="preserve">have to manage that in the face on online competition – as well as competition from the States-backed Guernsey Post </w:t>
      </w:r>
      <w:proofErr w:type="spellStart"/>
      <w:r w:rsidR="000E4625">
        <w:rPr>
          <w:rFonts w:ascii="Aptos" w:hAnsi="Aptos"/>
        </w:rPr>
        <w:t>Rockshopper</w:t>
      </w:r>
      <w:proofErr w:type="spellEnd"/>
      <w:r w:rsidR="000E4625">
        <w:rPr>
          <w:rFonts w:ascii="Aptos" w:hAnsi="Aptos"/>
        </w:rPr>
        <w:t xml:space="preserve"> initiative.  </w:t>
      </w:r>
    </w:p>
    <w:p w14:paraId="397ABE12" w14:textId="7409BFD1" w:rsidR="006F4885" w:rsidRDefault="0067433E" w:rsidP="77D96E7E">
      <w:pPr>
        <w:spacing w:before="240" w:after="240"/>
        <w:rPr>
          <w:rFonts w:ascii="Aptos" w:hAnsi="Aptos"/>
        </w:rPr>
      </w:pPr>
      <w:r>
        <w:rPr>
          <w:rFonts w:ascii="Aptos" w:hAnsi="Aptos"/>
        </w:rPr>
        <w:t>M</w:t>
      </w:r>
      <w:r w:rsidR="63980DAE" w:rsidRPr="004B01F3">
        <w:rPr>
          <w:rFonts w:ascii="Aptos" w:hAnsi="Aptos"/>
        </w:rPr>
        <w:t xml:space="preserve">arket constraints </w:t>
      </w:r>
      <w:r w:rsidR="0065195C">
        <w:rPr>
          <w:rFonts w:ascii="Aptos" w:hAnsi="Aptos"/>
        </w:rPr>
        <w:t xml:space="preserve">and online competition </w:t>
      </w:r>
      <w:r w:rsidR="63980DAE" w:rsidRPr="004B01F3">
        <w:rPr>
          <w:rFonts w:ascii="Aptos" w:hAnsi="Aptos"/>
        </w:rPr>
        <w:t>further highlight the need for a balanced and sustainable approach to minimum wage increases</w:t>
      </w:r>
      <w:r w:rsidR="008140EB">
        <w:rPr>
          <w:rFonts w:ascii="Aptos" w:hAnsi="Aptos"/>
        </w:rPr>
        <w:t xml:space="preserve"> and </w:t>
      </w:r>
      <w:r w:rsidR="003C5A17">
        <w:rPr>
          <w:rFonts w:ascii="Aptos" w:hAnsi="Aptos"/>
        </w:rPr>
        <w:t xml:space="preserve">without data being available, the risk that the minimum wage could </w:t>
      </w:r>
      <w:r w:rsidR="00CD2BAA">
        <w:rPr>
          <w:rFonts w:ascii="Aptos" w:hAnsi="Aptos"/>
        </w:rPr>
        <w:t>be set</w:t>
      </w:r>
      <w:r w:rsidR="003C5A17">
        <w:rPr>
          <w:rFonts w:ascii="Aptos" w:hAnsi="Aptos"/>
        </w:rPr>
        <w:t xml:space="preserve"> above 60% of median earnings is a risk the GRG can’t support. </w:t>
      </w:r>
    </w:p>
    <w:p w14:paraId="7950557B" w14:textId="6DA8AF6F" w:rsidR="63980DAE" w:rsidRPr="004B01F3" w:rsidRDefault="00222A8F" w:rsidP="77D96E7E">
      <w:pPr>
        <w:pStyle w:val="Heading3"/>
        <w:spacing w:before="281" w:after="281"/>
        <w:rPr>
          <w:rFonts w:ascii="Aptos" w:hAnsi="Aptos"/>
          <w:color w:val="auto"/>
          <w:sz w:val="22"/>
          <w:szCs w:val="22"/>
        </w:rPr>
      </w:pPr>
      <w:r>
        <w:rPr>
          <w:rFonts w:ascii="Aptos" w:hAnsi="Aptos"/>
          <w:b/>
          <w:bCs/>
          <w:color w:val="auto"/>
          <w:sz w:val="22"/>
          <w:szCs w:val="22"/>
        </w:rPr>
        <w:t xml:space="preserve">In summary </w:t>
      </w:r>
    </w:p>
    <w:p w14:paraId="6E70B123" w14:textId="0B92C8A9" w:rsidR="00A61287" w:rsidRDefault="63980DAE" w:rsidP="77D96E7E">
      <w:pPr>
        <w:spacing w:before="240" w:after="240"/>
        <w:rPr>
          <w:rFonts w:ascii="Aptos" w:hAnsi="Aptos"/>
        </w:rPr>
      </w:pPr>
      <w:r w:rsidRPr="004B01F3">
        <w:rPr>
          <w:rFonts w:ascii="Aptos" w:hAnsi="Aptos"/>
        </w:rPr>
        <w:t>The retail sector</w:t>
      </w:r>
      <w:r w:rsidR="00C64562">
        <w:rPr>
          <w:rFonts w:ascii="Aptos" w:hAnsi="Aptos"/>
        </w:rPr>
        <w:t xml:space="preserve"> </w:t>
      </w:r>
      <w:r w:rsidRPr="004B01F3">
        <w:rPr>
          <w:rFonts w:ascii="Aptos" w:hAnsi="Aptos"/>
        </w:rPr>
        <w:t>urge</w:t>
      </w:r>
      <w:r w:rsidR="00D50E5C">
        <w:rPr>
          <w:rFonts w:ascii="Aptos" w:hAnsi="Aptos"/>
        </w:rPr>
        <w:t>s</w:t>
      </w:r>
      <w:r w:rsidR="008C466B">
        <w:rPr>
          <w:rFonts w:ascii="Aptos" w:hAnsi="Aptos"/>
        </w:rPr>
        <w:t xml:space="preserve"> caution on raising the minimum wage without </w:t>
      </w:r>
      <w:r w:rsidR="008E1472">
        <w:rPr>
          <w:rFonts w:ascii="Aptos" w:hAnsi="Aptos"/>
        </w:rPr>
        <w:t>data on Guernsey’s median wage being available.</w:t>
      </w:r>
    </w:p>
    <w:p w14:paraId="450E444E" w14:textId="291CE58C" w:rsidR="0041794A" w:rsidRDefault="00F826F2" w:rsidP="77D96E7E">
      <w:pPr>
        <w:spacing w:before="240" w:after="240"/>
        <w:rPr>
          <w:rFonts w:ascii="Aptos" w:hAnsi="Aptos"/>
        </w:rPr>
      </w:pPr>
      <w:r>
        <w:rPr>
          <w:rFonts w:ascii="Aptos" w:hAnsi="Aptos"/>
        </w:rPr>
        <w:t xml:space="preserve">We’d suggest a rate of </w:t>
      </w:r>
      <w:r w:rsidR="007A4DC6">
        <w:rPr>
          <w:rFonts w:ascii="Aptos" w:hAnsi="Aptos"/>
        </w:rPr>
        <w:t>60% of median earnings equat</w:t>
      </w:r>
      <w:r w:rsidR="00D50E5C">
        <w:rPr>
          <w:rFonts w:ascii="Aptos" w:hAnsi="Aptos"/>
        </w:rPr>
        <w:t>es</w:t>
      </w:r>
      <w:r>
        <w:rPr>
          <w:rFonts w:ascii="Aptos" w:hAnsi="Aptos"/>
        </w:rPr>
        <w:t xml:space="preserve"> </w:t>
      </w:r>
      <w:r w:rsidR="007A4DC6">
        <w:rPr>
          <w:rFonts w:ascii="Aptos" w:hAnsi="Aptos"/>
        </w:rPr>
        <w:t>to approximately £12.</w:t>
      </w:r>
      <w:r w:rsidR="00D50E5C">
        <w:rPr>
          <w:rFonts w:ascii="Aptos" w:hAnsi="Aptos"/>
        </w:rPr>
        <w:t xml:space="preserve">90 based on the most recently available data. </w:t>
      </w:r>
      <w:r w:rsidR="005B7C83">
        <w:rPr>
          <w:rFonts w:ascii="Aptos" w:hAnsi="Aptos"/>
        </w:rPr>
        <w:t>90% of this would be £11.60</w:t>
      </w:r>
      <w:r w:rsidR="00E77505">
        <w:rPr>
          <w:rFonts w:ascii="Aptos" w:hAnsi="Aptos"/>
        </w:rPr>
        <w:t xml:space="preserve"> for the young person’s rate. </w:t>
      </w:r>
    </w:p>
    <w:p w14:paraId="146760E6" w14:textId="28473D15" w:rsidR="00222A8F" w:rsidRDefault="0041794A" w:rsidP="007E10CF">
      <w:pPr>
        <w:spacing w:before="240" w:after="240"/>
        <w:rPr>
          <w:rFonts w:ascii="Aptos" w:eastAsiaTheme="minorEastAsia" w:hAnsi="Aptos"/>
        </w:rPr>
      </w:pPr>
      <w:r>
        <w:rPr>
          <w:rFonts w:ascii="Aptos" w:hAnsi="Aptos"/>
        </w:rPr>
        <w:t xml:space="preserve">Both these options are </w:t>
      </w:r>
      <w:r w:rsidR="00E76BFD">
        <w:rPr>
          <w:rFonts w:ascii="Aptos" w:hAnsi="Aptos"/>
        </w:rPr>
        <w:t xml:space="preserve">more </w:t>
      </w:r>
      <w:r w:rsidR="000D2ED8">
        <w:rPr>
          <w:rFonts w:ascii="Aptos" w:hAnsi="Aptos"/>
        </w:rPr>
        <w:t xml:space="preserve">aligned with the </w:t>
      </w:r>
      <w:r>
        <w:rPr>
          <w:rFonts w:ascii="Aptos" w:hAnsi="Aptos"/>
        </w:rPr>
        <w:t xml:space="preserve">stated </w:t>
      </w:r>
      <w:r w:rsidR="000D2ED8">
        <w:rPr>
          <w:rFonts w:ascii="Aptos" w:hAnsi="Aptos"/>
        </w:rPr>
        <w:t xml:space="preserve">60% </w:t>
      </w:r>
      <w:r w:rsidR="00E77505">
        <w:rPr>
          <w:rFonts w:ascii="Aptos" w:hAnsi="Aptos"/>
        </w:rPr>
        <w:t xml:space="preserve">of median wage </w:t>
      </w:r>
      <w:r w:rsidR="000D2ED8">
        <w:rPr>
          <w:rFonts w:ascii="Aptos" w:hAnsi="Aptos"/>
        </w:rPr>
        <w:t>objective</w:t>
      </w:r>
      <w:r w:rsidR="00E77505">
        <w:rPr>
          <w:rFonts w:ascii="Aptos" w:hAnsi="Aptos"/>
        </w:rPr>
        <w:t xml:space="preserve">, and the agreed policy of </w:t>
      </w:r>
      <w:r w:rsidR="00724B9B">
        <w:rPr>
          <w:rFonts w:ascii="Aptos" w:hAnsi="Aptos"/>
        </w:rPr>
        <w:t xml:space="preserve">the young person’s minimum wage being 90% of the adult rate. </w:t>
      </w:r>
    </w:p>
    <w:sectPr w:rsidR="00222A8F" w:rsidSect="007452A3">
      <w:headerReference w:type="default" r:id="rId10"/>
      <w:footerReference w:type="default" r:id="rId11"/>
      <w:pgSz w:w="11906" w:h="16838"/>
      <w:pgMar w:top="1276" w:right="1133" w:bottom="1134" w:left="1276"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40C0C" w14:textId="77777777" w:rsidR="00C50E55" w:rsidRDefault="00C50E55" w:rsidP="00716C47">
      <w:pPr>
        <w:spacing w:after="0" w:line="240" w:lineRule="auto"/>
      </w:pPr>
      <w:r>
        <w:separator/>
      </w:r>
    </w:p>
  </w:endnote>
  <w:endnote w:type="continuationSeparator" w:id="0">
    <w:p w14:paraId="7918AC76" w14:textId="77777777" w:rsidR="00C50E55" w:rsidRDefault="00C50E55" w:rsidP="00716C47">
      <w:pPr>
        <w:spacing w:after="0" w:line="240" w:lineRule="auto"/>
      </w:pPr>
      <w:r>
        <w:continuationSeparator/>
      </w:r>
    </w:p>
  </w:endnote>
  <w:endnote w:type="continuationNotice" w:id="1">
    <w:p w14:paraId="22CF202F" w14:textId="77777777" w:rsidR="00C50E55" w:rsidRDefault="00C50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5C86" w14:textId="77777777" w:rsidR="00321706" w:rsidRPr="00E118B1" w:rsidRDefault="00321706" w:rsidP="00321706">
    <w:pPr>
      <w:pStyle w:val="Footer"/>
      <w:jc w:val="center"/>
      <w:rPr>
        <w:sz w:val="18"/>
        <w:szCs w:val="18"/>
      </w:rPr>
    </w:pPr>
    <w:r w:rsidRPr="00E118B1">
      <w:rPr>
        <w:sz w:val="18"/>
        <w:szCs w:val="18"/>
      </w:rPr>
      <w:t>Guernsey Retail Group LBG, 9-11 High Street, St Peter Port, Guernsey, GY1 2JZ</w:t>
    </w:r>
  </w:p>
  <w:p w14:paraId="595B64EF" w14:textId="77777777" w:rsidR="00321706" w:rsidRPr="00E118B1" w:rsidRDefault="00321706" w:rsidP="00321706">
    <w:pPr>
      <w:pStyle w:val="Footer"/>
      <w:jc w:val="center"/>
      <w:rPr>
        <w:sz w:val="24"/>
        <w:szCs w:val="24"/>
      </w:rPr>
    </w:pPr>
    <w:r w:rsidRPr="00E118B1">
      <w:rPr>
        <w:sz w:val="18"/>
        <w:szCs w:val="18"/>
      </w:rPr>
      <w:t>The GRG is Limited by Guarantee and is registered as a Not-for-Profit Organisation (NP269).</w:t>
    </w:r>
  </w:p>
  <w:p w14:paraId="5B4B3E25" w14:textId="77777777" w:rsidR="00321706" w:rsidRDefault="00321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330D" w14:textId="77777777" w:rsidR="00C50E55" w:rsidRDefault="00C50E55" w:rsidP="00716C47">
      <w:pPr>
        <w:spacing w:after="0" w:line="240" w:lineRule="auto"/>
      </w:pPr>
      <w:r>
        <w:separator/>
      </w:r>
    </w:p>
  </w:footnote>
  <w:footnote w:type="continuationSeparator" w:id="0">
    <w:p w14:paraId="5B01FA0D" w14:textId="77777777" w:rsidR="00C50E55" w:rsidRDefault="00C50E55" w:rsidP="00716C47">
      <w:pPr>
        <w:spacing w:after="0" w:line="240" w:lineRule="auto"/>
      </w:pPr>
      <w:r>
        <w:continuationSeparator/>
      </w:r>
    </w:p>
  </w:footnote>
  <w:footnote w:type="continuationNotice" w:id="1">
    <w:p w14:paraId="1176D129" w14:textId="77777777" w:rsidR="00C50E55" w:rsidRDefault="00C50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9E3F" w14:textId="77777777" w:rsidR="00E118B1" w:rsidRDefault="00DB23FE" w:rsidP="00E118B1">
    <w:pPr>
      <w:pStyle w:val="Footer"/>
      <w:jc w:val="center"/>
      <w:rPr>
        <w:sz w:val="16"/>
        <w:szCs w:val="16"/>
      </w:rPr>
    </w:pPr>
    <w:r>
      <w:rPr>
        <w:noProof/>
      </w:rPr>
      <w:drawing>
        <wp:inline distT="0" distB="0" distL="0" distR="0" wp14:anchorId="1CC7A7E9" wp14:editId="14D799DE">
          <wp:extent cx="914400" cy="963127"/>
          <wp:effectExtent l="0" t="0" r="0" b="0"/>
          <wp:docPr id="363510450" name="Picture 36351045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28006" cy="977458"/>
                  </a:xfrm>
                  <a:prstGeom prst="rect">
                    <a:avLst/>
                  </a:prstGeom>
                </pic:spPr>
              </pic:pic>
            </a:graphicData>
          </a:graphic>
        </wp:inline>
      </w:drawing>
    </w:r>
    <w:r w:rsidR="00E118B1" w:rsidRPr="00E118B1">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E7C12"/>
    <w:multiLevelType w:val="hybridMultilevel"/>
    <w:tmpl w:val="12FA7B04"/>
    <w:lvl w:ilvl="0" w:tplc="D07EFDBE">
      <w:start w:val="1"/>
      <w:numFmt w:val="bullet"/>
      <w:lvlText w:val=""/>
      <w:lvlJc w:val="left"/>
      <w:pPr>
        <w:ind w:left="720" w:hanging="360"/>
      </w:pPr>
      <w:rPr>
        <w:rFonts w:ascii="Symbol" w:hAnsi="Symbol" w:hint="default"/>
      </w:rPr>
    </w:lvl>
    <w:lvl w:ilvl="1" w:tplc="19F4E774">
      <w:start w:val="1"/>
      <w:numFmt w:val="bullet"/>
      <w:lvlText w:val="o"/>
      <w:lvlJc w:val="left"/>
      <w:pPr>
        <w:ind w:left="1440" w:hanging="360"/>
      </w:pPr>
      <w:rPr>
        <w:rFonts w:ascii="Courier New" w:hAnsi="Courier New" w:hint="default"/>
      </w:rPr>
    </w:lvl>
    <w:lvl w:ilvl="2" w:tplc="0A387A8A">
      <w:start w:val="1"/>
      <w:numFmt w:val="bullet"/>
      <w:lvlText w:val=""/>
      <w:lvlJc w:val="left"/>
      <w:pPr>
        <w:ind w:left="2160" w:hanging="360"/>
      </w:pPr>
      <w:rPr>
        <w:rFonts w:ascii="Wingdings" w:hAnsi="Wingdings" w:hint="default"/>
      </w:rPr>
    </w:lvl>
    <w:lvl w:ilvl="3" w:tplc="9B883CAE">
      <w:start w:val="1"/>
      <w:numFmt w:val="bullet"/>
      <w:lvlText w:val=""/>
      <w:lvlJc w:val="left"/>
      <w:pPr>
        <w:ind w:left="2880" w:hanging="360"/>
      </w:pPr>
      <w:rPr>
        <w:rFonts w:ascii="Symbol" w:hAnsi="Symbol" w:hint="default"/>
      </w:rPr>
    </w:lvl>
    <w:lvl w:ilvl="4" w:tplc="6568BCC2">
      <w:start w:val="1"/>
      <w:numFmt w:val="bullet"/>
      <w:lvlText w:val="o"/>
      <w:lvlJc w:val="left"/>
      <w:pPr>
        <w:ind w:left="3600" w:hanging="360"/>
      </w:pPr>
      <w:rPr>
        <w:rFonts w:ascii="Courier New" w:hAnsi="Courier New" w:hint="default"/>
      </w:rPr>
    </w:lvl>
    <w:lvl w:ilvl="5" w:tplc="12EC46B8">
      <w:start w:val="1"/>
      <w:numFmt w:val="bullet"/>
      <w:lvlText w:val=""/>
      <w:lvlJc w:val="left"/>
      <w:pPr>
        <w:ind w:left="4320" w:hanging="360"/>
      </w:pPr>
      <w:rPr>
        <w:rFonts w:ascii="Wingdings" w:hAnsi="Wingdings" w:hint="default"/>
      </w:rPr>
    </w:lvl>
    <w:lvl w:ilvl="6" w:tplc="8556B470">
      <w:start w:val="1"/>
      <w:numFmt w:val="bullet"/>
      <w:lvlText w:val=""/>
      <w:lvlJc w:val="left"/>
      <w:pPr>
        <w:ind w:left="5040" w:hanging="360"/>
      </w:pPr>
      <w:rPr>
        <w:rFonts w:ascii="Symbol" w:hAnsi="Symbol" w:hint="default"/>
      </w:rPr>
    </w:lvl>
    <w:lvl w:ilvl="7" w:tplc="BD9EEADA">
      <w:start w:val="1"/>
      <w:numFmt w:val="bullet"/>
      <w:lvlText w:val="o"/>
      <w:lvlJc w:val="left"/>
      <w:pPr>
        <w:ind w:left="5760" w:hanging="360"/>
      </w:pPr>
      <w:rPr>
        <w:rFonts w:ascii="Courier New" w:hAnsi="Courier New" w:hint="default"/>
      </w:rPr>
    </w:lvl>
    <w:lvl w:ilvl="8" w:tplc="653C1280">
      <w:start w:val="1"/>
      <w:numFmt w:val="bullet"/>
      <w:lvlText w:val=""/>
      <w:lvlJc w:val="left"/>
      <w:pPr>
        <w:ind w:left="6480" w:hanging="360"/>
      </w:pPr>
      <w:rPr>
        <w:rFonts w:ascii="Wingdings" w:hAnsi="Wingdings" w:hint="default"/>
      </w:rPr>
    </w:lvl>
  </w:abstractNum>
  <w:abstractNum w:abstractNumId="1" w15:restartNumberingAfterBreak="0">
    <w:nsid w:val="7DDB18C8"/>
    <w:multiLevelType w:val="multilevel"/>
    <w:tmpl w:val="C9207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76765211">
    <w:abstractNumId w:val="0"/>
  </w:num>
  <w:num w:numId="2" w16cid:durableId="1994991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E1"/>
    <w:rsid w:val="000023F8"/>
    <w:rsid w:val="00066235"/>
    <w:rsid w:val="00073ACB"/>
    <w:rsid w:val="000904BB"/>
    <w:rsid w:val="000C58EE"/>
    <w:rsid w:val="000D1B15"/>
    <w:rsid w:val="000D2ED8"/>
    <w:rsid w:val="000E059A"/>
    <w:rsid w:val="000E4625"/>
    <w:rsid w:val="000F0D01"/>
    <w:rsid w:val="001031DC"/>
    <w:rsid w:val="00104A7E"/>
    <w:rsid w:val="00112582"/>
    <w:rsid w:val="00113912"/>
    <w:rsid w:val="001253B1"/>
    <w:rsid w:val="00160EBF"/>
    <w:rsid w:val="00166C0F"/>
    <w:rsid w:val="00174726"/>
    <w:rsid w:val="001845EA"/>
    <w:rsid w:val="001921BA"/>
    <w:rsid w:val="0019479F"/>
    <w:rsid w:val="001B50C9"/>
    <w:rsid w:val="001B68E7"/>
    <w:rsid w:val="001C71BF"/>
    <w:rsid w:val="001D1384"/>
    <w:rsid w:val="001D18C1"/>
    <w:rsid w:val="001D4BC8"/>
    <w:rsid w:val="001D4C33"/>
    <w:rsid w:val="001D7596"/>
    <w:rsid w:val="001F25D7"/>
    <w:rsid w:val="001F6896"/>
    <w:rsid w:val="002131E1"/>
    <w:rsid w:val="00222A8F"/>
    <w:rsid w:val="00223356"/>
    <w:rsid w:val="002274BA"/>
    <w:rsid w:val="00247D7D"/>
    <w:rsid w:val="0027088A"/>
    <w:rsid w:val="00280188"/>
    <w:rsid w:val="002A67CF"/>
    <w:rsid w:val="002D39BD"/>
    <w:rsid w:val="002E0E7A"/>
    <w:rsid w:val="00303D76"/>
    <w:rsid w:val="00321706"/>
    <w:rsid w:val="003233C4"/>
    <w:rsid w:val="003346F0"/>
    <w:rsid w:val="00336653"/>
    <w:rsid w:val="003431E6"/>
    <w:rsid w:val="00360DCE"/>
    <w:rsid w:val="00367502"/>
    <w:rsid w:val="00376C5C"/>
    <w:rsid w:val="003B7CCB"/>
    <w:rsid w:val="003C5A17"/>
    <w:rsid w:val="003C6CDF"/>
    <w:rsid w:val="003E7AE5"/>
    <w:rsid w:val="003F7731"/>
    <w:rsid w:val="0040019D"/>
    <w:rsid w:val="00406101"/>
    <w:rsid w:val="00406259"/>
    <w:rsid w:val="0041794A"/>
    <w:rsid w:val="0043129C"/>
    <w:rsid w:val="00436217"/>
    <w:rsid w:val="00450F72"/>
    <w:rsid w:val="0045661B"/>
    <w:rsid w:val="004647F9"/>
    <w:rsid w:val="00484AC1"/>
    <w:rsid w:val="004876CE"/>
    <w:rsid w:val="004B01F3"/>
    <w:rsid w:val="005026D0"/>
    <w:rsid w:val="005302FF"/>
    <w:rsid w:val="0055501B"/>
    <w:rsid w:val="00555B59"/>
    <w:rsid w:val="00564D81"/>
    <w:rsid w:val="005721FA"/>
    <w:rsid w:val="005804F7"/>
    <w:rsid w:val="005A5DBE"/>
    <w:rsid w:val="005B3F3A"/>
    <w:rsid w:val="005B7372"/>
    <w:rsid w:val="005B73FD"/>
    <w:rsid w:val="005B7C83"/>
    <w:rsid w:val="005C0927"/>
    <w:rsid w:val="005C41F9"/>
    <w:rsid w:val="005D030C"/>
    <w:rsid w:val="005D31D3"/>
    <w:rsid w:val="005E1A7D"/>
    <w:rsid w:val="005F36FE"/>
    <w:rsid w:val="0060077C"/>
    <w:rsid w:val="006173C4"/>
    <w:rsid w:val="00620505"/>
    <w:rsid w:val="006207A7"/>
    <w:rsid w:val="00622410"/>
    <w:rsid w:val="0062743B"/>
    <w:rsid w:val="00640376"/>
    <w:rsid w:val="0065195C"/>
    <w:rsid w:val="006567A3"/>
    <w:rsid w:val="0067433E"/>
    <w:rsid w:val="006A0E77"/>
    <w:rsid w:val="006B24AE"/>
    <w:rsid w:val="006B6039"/>
    <w:rsid w:val="006C2805"/>
    <w:rsid w:val="006F0522"/>
    <w:rsid w:val="006F4885"/>
    <w:rsid w:val="00714011"/>
    <w:rsid w:val="00716C47"/>
    <w:rsid w:val="00724B9B"/>
    <w:rsid w:val="007366F9"/>
    <w:rsid w:val="007452A3"/>
    <w:rsid w:val="00745A55"/>
    <w:rsid w:val="0075101B"/>
    <w:rsid w:val="007660C0"/>
    <w:rsid w:val="007668A4"/>
    <w:rsid w:val="00797A24"/>
    <w:rsid w:val="007A4DC6"/>
    <w:rsid w:val="007E0231"/>
    <w:rsid w:val="007E10CF"/>
    <w:rsid w:val="007F218E"/>
    <w:rsid w:val="008032FD"/>
    <w:rsid w:val="008140EB"/>
    <w:rsid w:val="00851BFB"/>
    <w:rsid w:val="008566E9"/>
    <w:rsid w:val="00860444"/>
    <w:rsid w:val="00863DA7"/>
    <w:rsid w:val="00870998"/>
    <w:rsid w:val="008722C2"/>
    <w:rsid w:val="00872554"/>
    <w:rsid w:val="00877148"/>
    <w:rsid w:val="0088096A"/>
    <w:rsid w:val="00885B4E"/>
    <w:rsid w:val="00893D50"/>
    <w:rsid w:val="00897D11"/>
    <w:rsid w:val="008A56CD"/>
    <w:rsid w:val="008A587F"/>
    <w:rsid w:val="008A5D4E"/>
    <w:rsid w:val="008A6F63"/>
    <w:rsid w:val="008C466B"/>
    <w:rsid w:val="008D1D0C"/>
    <w:rsid w:val="008D47A4"/>
    <w:rsid w:val="008D6BC1"/>
    <w:rsid w:val="008E1472"/>
    <w:rsid w:val="008E35A7"/>
    <w:rsid w:val="008E66C3"/>
    <w:rsid w:val="008E7215"/>
    <w:rsid w:val="008F013B"/>
    <w:rsid w:val="008F3B0F"/>
    <w:rsid w:val="008F7F66"/>
    <w:rsid w:val="00920AAD"/>
    <w:rsid w:val="00920E31"/>
    <w:rsid w:val="00927351"/>
    <w:rsid w:val="0094250A"/>
    <w:rsid w:val="00957351"/>
    <w:rsid w:val="00965C05"/>
    <w:rsid w:val="009727D2"/>
    <w:rsid w:val="00985B3B"/>
    <w:rsid w:val="00996104"/>
    <w:rsid w:val="00997122"/>
    <w:rsid w:val="0099746E"/>
    <w:rsid w:val="009A3DD0"/>
    <w:rsid w:val="009B0970"/>
    <w:rsid w:val="009D1833"/>
    <w:rsid w:val="009D284E"/>
    <w:rsid w:val="009D66D0"/>
    <w:rsid w:val="009E65BA"/>
    <w:rsid w:val="009F14AA"/>
    <w:rsid w:val="009F59CC"/>
    <w:rsid w:val="00A054F4"/>
    <w:rsid w:val="00A11565"/>
    <w:rsid w:val="00A117E7"/>
    <w:rsid w:val="00A33A9F"/>
    <w:rsid w:val="00A40F39"/>
    <w:rsid w:val="00A4241A"/>
    <w:rsid w:val="00A437AC"/>
    <w:rsid w:val="00A57A6B"/>
    <w:rsid w:val="00A61287"/>
    <w:rsid w:val="00A711EF"/>
    <w:rsid w:val="00A9120E"/>
    <w:rsid w:val="00AD6195"/>
    <w:rsid w:val="00AD7A92"/>
    <w:rsid w:val="00AE7DFB"/>
    <w:rsid w:val="00B011DE"/>
    <w:rsid w:val="00B06C71"/>
    <w:rsid w:val="00B16063"/>
    <w:rsid w:val="00B16174"/>
    <w:rsid w:val="00B26CDB"/>
    <w:rsid w:val="00B37D0E"/>
    <w:rsid w:val="00B47748"/>
    <w:rsid w:val="00B91426"/>
    <w:rsid w:val="00B95A32"/>
    <w:rsid w:val="00BA5BAD"/>
    <w:rsid w:val="00BD5EBE"/>
    <w:rsid w:val="00BE3509"/>
    <w:rsid w:val="00C005A8"/>
    <w:rsid w:val="00C33590"/>
    <w:rsid w:val="00C47C3D"/>
    <w:rsid w:val="00C50E55"/>
    <w:rsid w:val="00C64562"/>
    <w:rsid w:val="00C73A96"/>
    <w:rsid w:val="00CC14A9"/>
    <w:rsid w:val="00CD0F10"/>
    <w:rsid w:val="00CD2BAA"/>
    <w:rsid w:val="00CD6B14"/>
    <w:rsid w:val="00CD7997"/>
    <w:rsid w:val="00CE15FC"/>
    <w:rsid w:val="00CE3960"/>
    <w:rsid w:val="00CF7188"/>
    <w:rsid w:val="00D07584"/>
    <w:rsid w:val="00D4218D"/>
    <w:rsid w:val="00D45ECE"/>
    <w:rsid w:val="00D476DA"/>
    <w:rsid w:val="00D50E5C"/>
    <w:rsid w:val="00D5448B"/>
    <w:rsid w:val="00D549A4"/>
    <w:rsid w:val="00D55D29"/>
    <w:rsid w:val="00D55D7F"/>
    <w:rsid w:val="00D67BBE"/>
    <w:rsid w:val="00D712A8"/>
    <w:rsid w:val="00DA70E8"/>
    <w:rsid w:val="00DB1E63"/>
    <w:rsid w:val="00DB23FE"/>
    <w:rsid w:val="00DB6D90"/>
    <w:rsid w:val="00DB7501"/>
    <w:rsid w:val="00DD26FD"/>
    <w:rsid w:val="00DE34CC"/>
    <w:rsid w:val="00DF214E"/>
    <w:rsid w:val="00E118B1"/>
    <w:rsid w:val="00E13FDC"/>
    <w:rsid w:val="00E1676F"/>
    <w:rsid w:val="00E424A4"/>
    <w:rsid w:val="00E42C27"/>
    <w:rsid w:val="00E513EF"/>
    <w:rsid w:val="00E609F8"/>
    <w:rsid w:val="00E76BFD"/>
    <w:rsid w:val="00E77505"/>
    <w:rsid w:val="00E90B64"/>
    <w:rsid w:val="00E95B6C"/>
    <w:rsid w:val="00E96CDE"/>
    <w:rsid w:val="00EE4041"/>
    <w:rsid w:val="00EE5F0D"/>
    <w:rsid w:val="00F0759E"/>
    <w:rsid w:val="00F11874"/>
    <w:rsid w:val="00F1777D"/>
    <w:rsid w:val="00F335D3"/>
    <w:rsid w:val="00F40F74"/>
    <w:rsid w:val="00F76839"/>
    <w:rsid w:val="00F81120"/>
    <w:rsid w:val="00F826F2"/>
    <w:rsid w:val="00F8554A"/>
    <w:rsid w:val="01FD9B1D"/>
    <w:rsid w:val="02A6CAFE"/>
    <w:rsid w:val="033D0DEC"/>
    <w:rsid w:val="039D3E0B"/>
    <w:rsid w:val="045A5C17"/>
    <w:rsid w:val="073F615C"/>
    <w:rsid w:val="07B49A0B"/>
    <w:rsid w:val="08FAC8D8"/>
    <w:rsid w:val="09BD4F9B"/>
    <w:rsid w:val="0A115C87"/>
    <w:rsid w:val="0ABD63BA"/>
    <w:rsid w:val="0E69FD20"/>
    <w:rsid w:val="0E9F5275"/>
    <w:rsid w:val="0F25BAA2"/>
    <w:rsid w:val="0F2F009F"/>
    <w:rsid w:val="0F87892A"/>
    <w:rsid w:val="1149F410"/>
    <w:rsid w:val="12CFBC6D"/>
    <w:rsid w:val="158B53E7"/>
    <w:rsid w:val="1771A62E"/>
    <w:rsid w:val="186A4B27"/>
    <w:rsid w:val="187BD4B0"/>
    <w:rsid w:val="18E1F46E"/>
    <w:rsid w:val="194CCF9A"/>
    <w:rsid w:val="1A313B41"/>
    <w:rsid w:val="1AE6DDF1"/>
    <w:rsid w:val="1C0AEC02"/>
    <w:rsid w:val="1C6FFDF1"/>
    <w:rsid w:val="1F826031"/>
    <w:rsid w:val="227A9434"/>
    <w:rsid w:val="26CE23EE"/>
    <w:rsid w:val="273EF3BF"/>
    <w:rsid w:val="27D5F858"/>
    <w:rsid w:val="2889FD06"/>
    <w:rsid w:val="2ADAA06B"/>
    <w:rsid w:val="2C9DB150"/>
    <w:rsid w:val="2CC1F40E"/>
    <w:rsid w:val="2F4889A3"/>
    <w:rsid w:val="30425E50"/>
    <w:rsid w:val="3781CDA5"/>
    <w:rsid w:val="399D4A00"/>
    <w:rsid w:val="3A138B85"/>
    <w:rsid w:val="3B1B5854"/>
    <w:rsid w:val="3E5039A8"/>
    <w:rsid w:val="424CD764"/>
    <w:rsid w:val="42560222"/>
    <w:rsid w:val="42AE97C8"/>
    <w:rsid w:val="4421244B"/>
    <w:rsid w:val="4BE28AED"/>
    <w:rsid w:val="50E15332"/>
    <w:rsid w:val="537860A9"/>
    <w:rsid w:val="53AD8EA1"/>
    <w:rsid w:val="56BC0CB2"/>
    <w:rsid w:val="571A1155"/>
    <w:rsid w:val="5B70E60A"/>
    <w:rsid w:val="5CDECA6D"/>
    <w:rsid w:val="601354D7"/>
    <w:rsid w:val="60EF92A3"/>
    <w:rsid w:val="62703B19"/>
    <w:rsid w:val="62DCBD66"/>
    <w:rsid w:val="632BFEB8"/>
    <w:rsid w:val="634FCFB1"/>
    <w:rsid w:val="63980DAE"/>
    <w:rsid w:val="642CB666"/>
    <w:rsid w:val="64EA1468"/>
    <w:rsid w:val="64F4CCFE"/>
    <w:rsid w:val="662DCDC2"/>
    <w:rsid w:val="66C12C88"/>
    <w:rsid w:val="6767A503"/>
    <w:rsid w:val="68497F09"/>
    <w:rsid w:val="6994116C"/>
    <w:rsid w:val="69F38B10"/>
    <w:rsid w:val="6ABF503A"/>
    <w:rsid w:val="6E5822FA"/>
    <w:rsid w:val="72001319"/>
    <w:rsid w:val="7518C57B"/>
    <w:rsid w:val="7651653B"/>
    <w:rsid w:val="76C0F479"/>
    <w:rsid w:val="77D96E7E"/>
    <w:rsid w:val="791BD885"/>
    <w:rsid w:val="791D120D"/>
    <w:rsid w:val="79F172DE"/>
    <w:rsid w:val="7CC696D6"/>
    <w:rsid w:val="7DF87A5B"/>
    <w:rsid w:val="7F29E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4080"/>
  <w15:chartTrackingRefBased/>
  <w15:docId w15:val="{A3E86337-3487-4DCE-8B39-75F0459C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E1"/>
    <w:rPr>
      <w:kern w:val="0"/>
      <w14:ligatures w14:val="none"/>
    </w:rPr>
  </w:style>
  <w:style w:type="paragraph" w:styleId="Heading3">
    <w:name w:val="heading 3"/>
    <w:basedOn w:val="Normal"/>
    <w:next w:val="Normal"/>
    <w:link w:val="Heading3Char"/>
    <w:uiPriority w:val="9"/>
    <w:unhideWhenUsed/>
    <w:qFormat/>
    <w:rsid w:val="77D96E7E"/>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1E1"/>
    <w:rPr>
      <w:kern w:val="0"/>
      <w14:ligatures w14:val="none"/>
    </w:rPr>
  </w:style>
  <w:style w:type="paragraph" w:styleId="Footer">
    <w:name w:val="footer"/>
    <w:basedOn w:val="Normal"/>
    <w:link w:val="FooterChar"/>
    <w:uiPriority w:val="99"/>
    <w:unhideWhenUsed/>
    <w:rsid w:val="00213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1E1"/>
    <w:rPr>
      <w:kern w:val="0"/>
      <w14:ligatures w14:val="none"/>
    </w:rPr>
  </w:style>
  <w:style w:type="paragraph" w:customStyle="1" w:styleId="xmsonormal">
    <w:name w:val="x_msonormal"/>
    <w:basedOn w:val="Normal"/>
    <w:rsid w:val="002131E1"/>
    <w:pPr>
      <w:spacing w:after="0" w:line="240" w:lineRule="auto"/>
    </w:pPr>
    <w:rPr>
      <w:rFonts w:ascii="Calibri" w:hAnsi="Calibri" w:cs="Calibri"/>
      <w:lang w:eastAsia="en-GB"/>
    </w:rPr>
  </w:style>
  <w:style w:type="paragraph" w:customStyle="1" w:styleId="xmsolistparagraph">
    <w:name w:val="x_msolistparagraph"/>
    <w:basedOn w:val="Normal"/>
    <w:rsid w:val="002131E1"/>
    <w:pPr>
      <w:spacing w:after="0" w:line="240" w:lineRule="auto"/>
      <w:ind w:left="720"/>
    </w:pPr>
    <w:rPr>
      <w:rFonts w:ascii="Calibri" w:hAnsi="Calibri" w:cs="Calibri"/>
      <w:lang w:eastAsia="en-GB"/>
    </w:rPr>
  </w:style>
  <w:style w:type="paragraph" w:customStyle="1" w:styleId="paragraph">
    <w:name w:val="paragraph"/>
    <w:basedOn w:val="Normal"/>
    <w:rsid w:val="004876CE"/>
    <w:pPr>
      <w:spacing w:after="0" w:line="240" w:lineRule="auto"/>
    </w:pPr>
    <w:rPr>
      <w:rFonts w:ascii="Calibri" w:hAnsi="Calibri" w:cs="Calibri"/>
      <w:lang w:eastAsia="en-GB"/>
    </w:rPr>
  </w:style>
  <w:style w:type="character" w:customStyle="1" w:styleId="normaltextrun">
    <w:name w:val="normaltextrun"/>
    <w:basedOn w:val="DefaultParagraphFont"/>
    <w:rsid w:val="004876CE"/>
  </w:style>
  <w:style w:type="character" w:customStyle="1" w:styleId="eop">
    <w:name w:val="eop"/>
    <w:basedOn w:val="DefaultParagraphFont"/>
    <w:rsid w:val="004876CE"/>
  </w:style>
  <w:style w:type="character" w:customStyle="1" w:styleId="contentpasted2">
    <w:name w:val="contentpasted2"/>
    <w:basedOn w:val="DefaultParagraphFont"/>
    <w:rsid w:val="004876CE"/>
  </w:style>
  <w:style w:type="paragraph" w:styleId="ListParagraph">
    <w:name w:val="List Paragraph"/>
    <w:basedOn w:val="Normal"/>
    <w:uiPriority w:val="34"/>
    <w:qFormat/>
    <w:rsid w:val="77D96E7E"/>
    <w:pPr>
      <w:ind w:left="720"/>
      <w:contextualSpacing/>
    </w:pPr>
  </w:style>
  <w:style w:type="character" w:styleId="Hyperlink">
    <w:name w:val="Hyperlink"/>
    <w:basedOn w:val="DefaultParagraphFont"/>
    <w:uiPriority w:val="99"/>
    <w:unhideWhenUsed/>
    <w:rsid w:val="0040019D"/>
    <w:rPr>
      <w:color w:val="0563C1" w:themeColor="hyperlink"/>
      <w:u w:val="single"/>
    </w:rPr>
  </w:style>
  <w:style w:type="character" w:styleId="UnresolvedMention">
    <w:name w:val="Unresolved Mention"/>
    <w:basedOn w:val="DefaultParagraphFont"/>
    <w:uiPriority w:val="99"/>
    <w:semiHidden/>
    <w:unhideWhenUsed/>
    <w:rsid w:val="0040019D"/>
    <w:rPr>
      <w:color w:val="605E5C"/>
      <w:shd w:val="clear" w:color="auto" w:fill="E1DFDD"/>
    </w:rPr>
  </w:style>
  <w:style w:type="character" w:customStyle="1" w:styleId="Heading3Char">
    <w:name w:val="Heading 3 Char"/>
    <w:basedOn w:val="DefaultParagraphFont"/>
    <w:link w:val="Heading3"/>
    <w:uiPriority w:val="9"/>
    <w:rsid w:val="006F0522"/>
    <w:rPr>
      <w:rFonts w:eastAsiaTheme="minorEastAsia" w:cstheme="majorEastAsia"/>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68315">
      <w:bodyDiv w:val="1"/>
      <w:marLeft w:val="0"/>
      <w:marRight w:val="0"/>
      <w:marTop w:val="0"/>
      <w:marBottom w:val="0"/>
      <w:divBdr>
        <w:top w:val="none" w:sz="0" w:space="0" w:color="auto"/>
        <w:left w:val="none" w:sz="0" w:space="0" w:color="auto"/>
        <w:bottom w:val="none" w:sz="0" w:space="0" w:color="auto"/>
        <w:right w:val="none" w:sz="0" w:space="0" w:color="auto"/>
      </w:divBdr>
    </w:div>
    <w:div w:id="656685390">
      <w:bodyDiv w:val="1"/>
      <w:marLeft w:val="0"/>
      <w:marRight w:val="0"/>
      <w:marTop w:val="0"/>
      <w:marBottom w:val="0"/>
      <w:divBdr>
        <w:top w:val="none" w:sz="0" w:space="0" w:color="auto"/>
        <w:left w:val="none" w:sz="0" w:space="0" w:color="auto"/>
        <w:bottom w:val="none" w:sz="0" w:space="0" w:color="auto"/>
        <w:right w:val="none" w:sz="0" w:space="0" w:color="auto"/>
      </w:divBdr>
    </w:div>
    <w:div w:id="1076246297">
      <w:bodyDiv w:val="1"/>
      <w:marLeft w:val="0"/>
      <w:marRight w:val="0"/>
      <w:marTop w:val="0"/>
      <w:marBottom w:val="0"/>
      <w:divBdr>
        <w:top w:val="none" w:sz="0" w:space="0" w:color="auto"/>
        <w:left w:val="none" w:sz="0" w:space="0" w:color="auto"/>
        <w:bottom w:val="none" w:sz="0" w:space="0" w:color="auto"/>
        <w:right w:val="none" w:sz="0" w:space="0" w:color="auto"/>
      </w:divBdr>
    </w:div>
    <w:div w:id="1154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531DF7D86EA64FB798B2386D0A3D21" ma:contentTypeVersion="15" ma:contentTypeDescription="Create a new document." ma:contentTypeScope="" ma:versionID="d7f40ac54e2b5f2756718e3094b0717a">
  <xsd:schema xmlns:xsd="http://www.w3.org/2001/XMLSchema" xmlns:xs="http://www.w3.org/2001/XMLSchema" xmlns:p="http://schemas.microsoft.com/office/2006/metadata/properties" xmlns:ns3="ef64c1fb-8a3f-45d6-b023-92ea20b89f0a" xmlns:ns4="d522fb6e-b138-4931-bfc4-ed25a279c28b" targetNamespace="http://schemas.microsoft.com/office/2006/metadata/properties" ma:root="true" ma:fieldsID="e84fbe2cc7f2adf346155826c3af3a4c" ns3:_="" ns4:_="">
    <xsd:import namespace="ef64c1fb-8a3f-45d6-b023-92ea20b89f0a"/>
    <xsd:import namespace="d522fb6e-b138-4931-bfc4-ed25a279c2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4c1fb-8a3f-45d6-b023-92ea20b89f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2fb6e-b138-4931-bfc4-ed25a279c2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522fb6e-b138-4931-bfc4-ed25a279c28b" xsi:nil="true"/>
    <_activity xmlns="d522fb6e-b138-4931-bfc4-ed25a279c2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D55BF-611E-4385-933B-7436901CE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4c1fb-8a3f-45d6-b023-92ea20b89f0a"/>
    <ds:schemaRef ds:uri="d522fb6e-b138-4931-bfc4-ed25a279c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D506D-DF72-4E00-A0E8-B6E2D381F9CD}">
  <ds:schemaRefs>
    <ds:schemaRef ds:uri="http://schemas.microsoft.com/office/2006/metadata/properties"/>
    <ds:schemaRef ds:uri="http://schemas.microsoft.com/office/infopath/2007/PartnerControls"/>
    <ds:schemaRef ds:uri="d522fb6e-b138-4931-bfc4-ed25a279c28b"/>
  </ds:schemaRefs>
</ds:datastoreItem>
</file>

<file path=customXml/itemProps3.xml><?xml version="1.0" encoding="utf-8"?>
<ds:datastoreItem xmlns:ds="http://schemas.openxmlformats.org/officeDocument/2006/customXml" ds:itemID="{6DE36F28-B039-4286-93C4-1AAE49C75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Korinne Le Page</dc:creator>
  <cp:keywords/>
  <dc:description/>
  <cp:lastModifiedBy>Korinne Le Page</cp:lastModifiedBy>
  <cp:revision>2</cp:revision>
  <cp:lastPrinted>2025-02-27T18:34:00Z</cp:lastPrinted>
  <dcterms:created xsi:type="dcterms:W3CDTF">2026-05-28T08:21:00Z</dcterms:created>
  <dcterms:modified xsi:type="dcterms:W3CDTF">2026-05-28T08:21:00Z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0x0101006F531DF7D86EA64FB798B2386D0A3D21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